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34FAA" w14:textId="0E937AA3" w:rsidR="004D7E41" w:rsidRDefault="004D7E41" w:rsidP="002C228A">
      <w:pPr>
        <w:pStyle w:val="CRCoverPage"/>
        <w:tabs>
          <w:tab w:val="right" w:pos="9639"/>
        </w:tabs>
        <w:spacing w:after="0"/>
        <w:rPr>
          <w:b/>
          <w:noProof/>
          <w:sz w:val="24"/>
        </w:rPr>
      </w:pPr>
      <w:r w:rsidRPr="00FB346E">
        <w:rPr>
          <w:b/>
          <w:noProof/>
          <w:sz w:val="24"/>
        </w:rPr>
        <w:t>3GPP TSG-RAN4 Meeting #1</w:t>
      </w:r>
      <w:r>
        <w:rPr>
          <w:b/>
          <w:noProof/>
          <w:sz w:val="24"/>
        </w:rPr>
        <w:t>11</w:t>
      </w:r>
      <w:r w:rsidRPr="0033027D">
        <w:rPr>
          <w:b/>
          <w:noProof/>
          <w:sz w:val="24"/>
        </w:rPr>
        <w:tab/>
      </w:r>
      <w:r w:rsidRPr="007B480F">
        <w:rPr>
          <w:b/>
          <w:noProof/>
          <w:sz w:val="24"/>
        </w:rPr>
        <w:t>R4-240</w:t>
      </w:r>
      <w:r w:rsidR="00732AB2">
        <w:rPr>
          <w:b/>
          <w:noProof/>
          <w:sz w:val="24"/>
        </w:rPr>
        <w:t>8404</w:t>
      </w:r>
    </w:p>
    <w:p w14:paraId="2E0410B7" w14:textId="2B7BF807" w:rsidR="004D7E41" w:rsidRPr="00B144E9" w:rsidRDefault="004D7E41" w:rsidP="002C228A">
      <w:pPr>
        <w:rPr>
          <w:rFonts w:ascii="Arial" w:hAnsi="Arial" w:cs="Arial"/>
          <w:b/>
          <w:noProof/>
          <w:sz w:val="24"/>
          <w:szCs w:val="24"/>
        </w:rPr>
      </w:pPr>
      <w:r w:rsidRPr="0052514D">
        <w:rPr>
          <w:rFonts w:ascii="Arial" w:eastAsia="SimSun" w:hAnsi="Arial" w:cs="Arial"/>
          <w:b/>
          <w:sz w:val="24"/>
          <w:szCs w:val="24"/>
          <w:lang w:eastAsia="zh-CN"/>
        </w:rPr>
        <w:t>Fukuoka, Japan,</w:t>
      </w:r>
      <w:r w:rsidR="002C228A">
        <w:rPr>
          <w:rFonts w:ascii="Arial" w:eastAsia="SimSun" w:hAnsi="Arial" w:cs="Arial"/>
          <w:b/>
          <w:sz w:val="24"/>
          <w:szCs w:val="24"/>
          <w:lang w:eastAsia="zh-CN"/>
        </w:rPr>
        <w:t xml:space="preserve"> </w:t>
      </w:r>
      <w:r w:rsidRPr="0052514D">
        <w:rPr>
          <w:rFonts w:ascii="Arial" w:eastAsia="SimSun" w:hAnsi="Arial" w:cs="Arial"/>
          <w:b/>
          <w:sz w:val="24"/>
          <w:szCs w:val="24"/>
          <w:lang w:eastAsia="zh-CN"/>
        </w:rPr>
        <w:t>20</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–24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May, 2024</w:t>
      </w:r>
      <w:r>
        <w:rPr>
          <w:rFonts w:cs="Arial"/>
          <w:b/>
          <w:sz w:val="24"/>
        </w:rPr>
        <w:br/>
      </w:r>
    </w:p>
    <w:p w14:paraId="6D01FBCB" w14:textId="3ECA1520"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A50B3C">
        <w:rPr>
          <w:rFonts w:ascii="Arial" w:hAnsi="Arial" w:cs="Arial"/>
          <w:b/>
        </w:rPr>
        <w:t>co-existence</w:t>
      </w:r>
      <w:r w:rsidRPr="00E67FB1">
        <w:rPr>
          <w:rFonts w:ascii="Arial" w:hAnsi="Arial" w:cs="Arial"/>
          <w:b/>
        </w:rPr>
        <w:t xml:space="preserve"> parameters for </w:t>
      </w:r>
      <w:r w:rsidR="001B5B2C">
        <w:rPr>
          <w:rFonts w:ascii="Arial" w:hAnsi="Arial" w:cs="Arial"/>
          <w:b/>
        </w:rPr>
        <w:t>1480</w:t>
      </w:r>
      <w:r w:rsidR="00CE6EE0">
        <w:rPr>
          <w:rFonts w:ascii="Arial" w:hAnsi="Arial" w:cs="Arial"/>
          <w:b/>
        </w:rPr>
        <w:t>0</w:t>
      </w:r>
      <w:r>
        <w:rPr>
          <w:rFonts w:ascii="Arial" w:hAnsi="Arial" w:cs="Arial"/>
          <w:b/>
        </w:rPr>
        <w:t xml:space="preserve"> - </w:t>
      </w:r>
      <w:r w:rsidR="003A10AA">
        <w:rPr>
          <w:rFonts w:ascii="Arial" w:hAnsi="Arial" w:cs="Arial"/>
          <w:b/>
        </w:rPr>
        <w:t>15350</w:t>
      </w:r>
      <w:r w:rsidRPr="00E67FB1">
        <w:rPr>
          <w:rFonts w:ascii="Arial" w:hAnsi="Arial" w:cs="Arial"/>
          <w:b/>
        </w:rPr>
        <w:t xml:space="preserve"> MHz</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46E54E3E"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10.3.4</w:t>
      </w:r>
      <w:r w:rsidR="00546B72">
        <w:rPr>
          <w:rFonts w:ascii="Arial" w:hAnsi="Arial" w:cs="Arial"/>
          <w:b/>
        </w:rPr>
        <w:t>.1</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69FE45B0" w14:textId="18BE6AA7" w:rsidR="005758E6" w:rsidRDefault="005758E6" w:rsidP="00823087">
      <w:pPr>
        <w:jc w:val="both"/>
      </w:pPr>
      <w:r>
        <w:t xml:space="preserve">During RAN#103 plenary a new study item </w:t>
      </w:r>
      <w:r w:rsidRPr="004A7143">
        <w:t>on IMT parameters for 4400 to 4800 MHz, 7125 to 8400 MHz and 14800 to 15350 MHz</w:t>
      </w:r>
      <w:r>
        <w:t xml:space="preserve"> was approved [1]. In RAN4#110-bis, a WF was agreed in [2] where several agreements were captured for the 7125 – 8400 MHz and 14800 – 15350 MHz frequency range. In this contribution, we provide our views on the different RF parameters for BS and UE items for the 14800 – 15350  MHz frequency range. </w:t>
      </w:r>
    </w:p>
    <w:p w14:paraId="642C9F84" w14:textId="6177E432" w:rsidR="00A727B4" w:rsidRDefault="00993E9B" w:rsidP="00823087">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p>
    <w:p w14:paraId="3DF656A3" w14:textId="01190978" w:rsidR="002933E2" w:rsidRPr="002933E2" w:rsidRDefault="001E310D" w:rsidP="001E310D">
      <w:pPr>
        <w:pStyle w:val="Heading2"/>
        <w:rPr>
          <w:lang w:eastAsia="ja-JP"/>
        </w:rPr>
      </w:pPr>
      <w:r>
        <w:rPr>
          <w:lang w:eastAsia="ja-JP"/>
        </w:rPr>
        <w:t>2.1</w:t>
      </w:r>
      <w:r>
        <w:rPr>
          <w:lang w:eastAsia="ja-JP"/>
        </w:rPr>
        <w:tab/>
      </w:r>
      <w:r w:rsidR="002933E2">
        <w:rPr>
          <w:lang w:eastAsia="ja-JP"/>
        </w:rPr>
        <w:t xml:space="preserve">System parameters </w:t>
      </w:r>
    </w:p>
    <w:p w14:paraId="1C4B0FE4" w14:textId="1076BF7E" w:rsidR="00E94167" w:rsidRDefault="00E94167" w:rsidP="00823087">
      <w:pPr>
        <w:pStyle w:val="Heading3"/>
        <w:jc w:val="both"/>
        <w:rPr>
          <w:lang w:eastAsia="ja-JP"/>
        </w:rPr>
      </w:pPr>
      <w:r>
        <w:rPr>
          <w:lang w:eastAsia="ja-JP"/>
        </w:rPr>
        <w:t>2.</w:t>
      </w:r>
      <w:r w:rsidR="001E310D">
        <w:rPr>
          <w:lang w:eastAsia="ja-JP"/>
        </w:rPr>
        <w:t>2.</w:t>
      </w:r>
      <w:r>
        <w:rPr>
          <w:lang w:eastAsia="ja-JP"/>
        </w:rPr>
        <w:t>1</w:t>
      </w:r>
      <w:r>
        <w:rPr>
          <w:lang w:eastAsia="ja-JP"/>
        </w:rPr>
        <w:tab/>
        <w:t>Deployment scenarios</w:t>
      </w:r>
    </w:p>
    <w:p w14:paraId="6866FDDA" w14:textId="347F29FD" w:rsidR="00E94167" w:rsidRDefault="00E94167" w:rsidP="00823087">
      <w:pPr>
        <w:jc w:val="both"/>
        <w:rPr>
          <w:lang w:eastAsia="ja-JP"/>
        </w:rPr>
      </w:pPr>
      <w:r>
        <w:rPr>
          <w:lang w:eastAsia="ja-JP"/>
        </w:rPr>
        <w:t>In</w:t>
      </w:r>
      <w:r w:rsidR="002D334C">
        <w:rPr>
          <w:lang w:eastAsia="ja-JP"/>
        </w:rPr>
        <w:t xml:space="preserve"> [2], the following related to initial deployment scenarios was agreed: </w:t>
      </w:r>
    </w:p>
    <w:tbl>
      <w:tblPr>
        <w:tblStyle w:val="TableGrid"/>
        <w:tblW w:w="0" w:type="auto"/>
        <w:tblLook w:val="04A0" w:firstRow="1" w:lastRow="0" w:firstColumn="1" w:lastColumn="0" w:noHBand="0" w:noVBand="1"/>
      </w:tblPr>
      <w:tblGrid>
        <w:gridCol w:w="9622"/>
      </w:tblGrid>
      <w:tr w:rsidR="002D334C" w14:paraId="6E86D28D" w14:textId="77777777" w:rsidTr="002D334C">
        <w:tc>
          <w:tcPr>
            <w:tcW w:w="9622" w:type="dxa"/>
          </w:tcPr>
          <w:p w14:paraId="17C3EAF3" w14:textId="77777777" w:rsidR="00DE4456" w:rsidRDefault="00DE4456" w:rsidP="00823087">
            <w:pPr>
              <w:spacing w:after="0"/>
              <w:ind w:left="284"/>
              <w:jc w:val="both"/>
              <w:rPr>
                <w:u w:val="single"/>
              </w:rPr>
            </w:pPr>
            <w:r>
              <w:rPr>
                <w:u w:val="single"/>
              </w:rPr>
              <w:t>Issue 3-2 Initial deployment scenarios</w:t>
            </w:r>
          </w:p>
          <w:p w14:paraId="52192C7E" w14:textId="77777777" w:rsidR="00DE4456" w:rsidRPr="002E0B53" w:rsidRDefault="00DE4456" w:rsidP="00823087">
            <w:pPr>
              <w:pStyle w:val="ListParagraph"/>
              <w:numPr>
                <w:ilvl w:val="0"/>
                <w:numId w:val="6"/>
              </w:numPr>
              <w:spacing w:after="0"/>
              <w:ind w:left="1004" w:hanging="357"/>
              <w:jc w:val="both"/>
            </w:pPr>
            <w:r w:rsidRPr="002E0B53">
              <w:t>Option 1: Follow 38.921</w:t>
            </w:r>
          </w:p>
          <w:p w14:paraId="2ACCB64E" w14:textId="77777777" w:rsidR="00DE4456" w:rsidRPr="002E0B53" w:rsidRDefault="00DE4456" w:rsidP="00823087">
            <w:pPr>
              <w:pStyle w:val="ListParagraph"/>
              <w:numPr>
                <w:ilvl w:val="1"/>
                <w:numId w:val="6"/>
              </w:numPr>
              <w:spacing w:after="0"/>
              <w:ind w:left="1724" w:hanging="357"/>
              <w:jc w:val="both"/>
            </w:pPr>
            <w:r w:rsidRPr="002E0B53">
              <w:t>Indoor 20m ISD</w:t>
            </w:r>
          </w:p>
          <w:p w14:paraId="0A7A85F0" w14:textId="77777777" w:rsidR="00DE4456" w:rsidRPr="002E0B53" w:rsidRDefault="00DE4456" w:rsidP="00823087">
            <w:pPr>
              <w:pStyle w:val="ListParagraph"/>
              <w:numPr>
                <w:ilvl w:val="1"/>
                <w:numId w:val="6"/>
              </w:numPr>
              <w:spacing w:after="0"/>
              <w:ind w:left="1724" w:hanging="357"/>
              <w:jc w:val="both"/>
            </w:pPr>
            <w:r w:rsidRPr="002E0B53">
              <w:t>[0.2 - 0.45]km Urban</w:t>
            </w:r>
          </w:p>
          <w:p w14:paraId="1970F320" w14:textId="77777777" w:rsidR="00DE4456" w:rsidRPr="002E0B53" w:rsidRDefault="00DE4456" w:rsidP="00823087">
            <w:pPr>
              <w:pStyle w:val="ListParagraph"/>
              <w:numPr>
                <w:ilvl w:val="1"/>
                <w:numId w:val="6"/>
              </w:numPr>
              <w:spacing w:after="0"/>
              <w:ind w:left="1724" w:hanging="357"/>
              <w:jc w:val="both"/>
            </w:pPr>
            <w:r w:rsidRPr="002E0B53">
              <w:t>[&lt;=0.9]km sub-urban</w:t>
            </w:r>
          </w:p>
          <w:p w14:paraId="1D2BC92D" w14:textId="77777777" w:rsidR="00DE4456" w:rsidRPr="002E0B53" w:rsidRDefault="00DE4456" w:rsidP="00823087">
            <w:pPr>
              <w:pStyle w:val="ListParagraph"/>
              <w:numPr>
                <w:ilvl w:val="0"/>
                <w:numId w:val="6"/>
              </w:numPr>
              <w:spacing w:after="0"/>
              <w:ind w:left="1004" w:hanging="357"/>
              <w:jc w:val="both"/>
            </w:pPr>
            <w:r w:rsidRPr="002E0B53">
              <w:t>Option 2: 38.803 FR2 assumptions</w:t>
            </w:r>
          </w:p>
          <w:p w14:paraId="33D17FD1" w14:textId="77777777" w:rsidR="00DE4456" w:rsidRPr="002E0B53" w:rsidRDefault="00DE4456" w:rsidP="00823087">
            <w:pPr>
              <w:pStyle w:val="ListParagraph"/>
              <w:numPr>
                <w:ilvl w:val="1"/>
                <w:numId w:val="6"/>
              </w:numPr>
              <w:spacing w:after="0"/>
              <w:ind w:left="1724" w:hanging="357"/>
              <w:jc w:val="both"/>
            </w:pPr>
            <w:r w:rsidRPr="002E0B53">
              <w:t>Indoor</w:t>
            </w:r>
          </w:p>
          <w:p w14:paraId="07213ECF" w14:textId="77777777" w:rsidR="00DE4456" w:rsidRPr="002E0B53" w:rsidRDefault="00DE4456" w:rsidP="00823087">
            <w:pPr>
              <w:pStyle w:val="ListParagraph"/>
              <w:numPr>
                <w:ilvl w:val="1"/>
                <w:numId w:val="6"/>
              </w:numPr>
              <w:spacing w:after="0"/>
              <w:ind w:left="1724" w:hanging="357"/>
              <w:jc w:val="both"/>
            </w:pPr>
            <w:r w:rsidRPr="002E0B53">
              <w:t>Dense Urban</w:t>
            </w:r>
          </w:p>
          <w:p w14:paraId="2173426C" w14:textId="77777777" w:rsidR="00DE4456" w:rsidRPr="002E0B53" w:rsidRDefault="00DE4456" w:rsidP="00823087">
            <w:pPr>
              <w:pStyle w:val="ListParagraph"/>
              <w:numPr>
                <w:ilvl w:val="1"/>
                <w:numId w:val="6"/>
              </w:numPr>
              <w:spacing w:after="0"/>
              <w:ind w:left="1724" w:hanging="357"/>
              <w:jc w:val="both"/>
            </w:pPr>
            <w:r w:rsidRPr="002E0B53">
              <w:t>Urban macro</w:t>
            </w:r>
          </w:p>
          <w:p w14:paraId="5C7779C1" w14:textId="0002A85E" w:rsidR="002D334C" w:rsidRDefault="00DE4456" w:rsidP="00823087">
            <w:pPr>
              <w:pStyle w:val="ListParagraph"/>
              <w:numPr>
                <w:ilvl w:val="0"/>
                <w:numId w:val="6"/>
              </w:numPr>
              <w:spacing w:after="0"/>
              <w:ind w:left="1004" w:hanging="357"/>
              <w:jc w:val="both"/>
            </w:pPr>
            <w:r w:rsidRPr="002E0B53">
              <w:t>Other options such as smaller ISD not precluded depending on antenna array assumptions</w:t>
            </w:r>
          </w:p>
        </w:tc>
      </w:tr>
    </w:tbl>
    <w:p w14:paraId="6B41EFB1" w14:textId="11411069" w:rsidR="00F17B30" w:rsidRDefault="00F17B30" w:rsidP="00823087">
      <w:pPr>
        <w:spacing w:after="0"/>
        <w:jc w:val="both"/>
        <w:rPr>
          <w:lang w:eastAsia="ja-JP"/>
        </w:rPr>
      </w:pPr>
    </w:p>
    <w:p w14:paraId="60D59CE0" w14:textId="5F9F3D17" w:rsidR="0053201B" w:rsidRDefault="00BB1073" w:rsidP="00823087">
      <w:pPr>
        <w:spacing w:after="0"/>
        <w:jc w:val="both"/>
        <w:rPr>
          <w:lang w:eastAsia="ja-JP"/>
        </w:rPr>
      </w:pPr>
      <w:r>
        <w:rPr>
          <w:lang w:eastAsia="ja-JP"/>
        </w:rPr>
        <w:t xml:space="preserve">For 6GHz and 10 GHz coexistence work carried out in [3], indoor and urban </w:t>
      </w:r>
      <w:r w:rsidR="00DB2979">
        <w:rPr>
          <w:lang w:eastAsia="ja-JP"/>
        </w:rPr>
        <w:t xml:space="preserve">(ISD= 450m) </w:t>
      </w:r>
      <w:r>
        <w:rPr>
          <w:lang w:eastAsia="ja-JP"/>
        </w:rPr>
        <w:t>were</w:t>
      </w:r>
      <w:r w:rsidR="00DB2979">
        <w:rPr>
          <w:lang w:eastAsia="ja-JP"/>
        </w:rPr>
        <w:t xml:space="preserve"> considered when deriving the ACLR/ACS. </w:t>
      </w:r>
      <w:r w:rsidR="00531513">
        <w:rPr>
          <w:lang w:eastAsia="ja-JP"/>
        </w:rPr>
        <w:t xml:space="preserve">In our view, this band is targeted for UMa-like coverage </w:t>
      </w:r>
      <w:r w:rsidR="008D2A99">
        <w:rPr>
          <w:lang w:eastAsia="ja-JP"/>
        </w:rPr>
        <w:t xml:space="preserve">and should not limited to indoor or micro dense deployments. In order to validate this, we have run a single UMa scenario with ISD = 450m, </w:t>
      </w:r>
      <w:r w:rsidR="00200EEE">
        <w:rPr>
          <w:lang w:eastAsia="ja-JP"/>
        </w:rPr>
        <w:t xml:space="preserve">32x32 AAS array employed at the gNB with EIRP = 82 dBm, </w:t>
      </w:r>
      <w:r w:rsidR="001772ED">
        <w:rPr>
          <w:lang w:eastAsia="ja-JP"/>
        </w:rPr>
        <w:t xml:space="preserve">maximum channel bandwidth = 200MHz, </w:t>
      </w:r>
      <w:r w:rsidR="00200EEE">
        <w:rPr>
          <w:lang w:eastAsia="ja-JP"/>
        </w:rPr>
        <w:t xml:space="preserve">UE maximum output power = 23 dBm, UL SNR target equals 15 dB, </w:t>
      </w:r>
      <w:r w:rsidR="00823087">
        <w:rPr>
          <w:lang w:eastAsia="ja-JP"/>
        </w:rPr>
        <w:t xml:space="preserve">no UE beamforming as this stage, </w:t>
      </w:r>
      <w:r w:rsidR="00200EEE">
        <w:rPr>
          <w:lang w:eastAsia="ja-JP"/>
        </w:rPr>
        <w:t xml:space="preserve">and </w:t>
      </w:r>
      <w:r w:rsidR="00823087">
        <w:rPr>
          <w:lang w:eastAsia="ja-JP"/>
        </w:rPr>
        <w:t>similar</w:t>
      </w:r>
      <w:r w:rsidR="00200EEE">
        <w:rPr>
          <w:lang w:eastAsia="ja-JP"/>
        </w:rPr>
        <w:t xml:space="preserve"> propagation conditions a</w:t>
      </w:r>
      <w:r w:rsidR="007439AB">
        <w:rPr>
          <w:lang w:eastAsia="ja-JP"/>
        </w:rPr>
        <w:t xml:space="preserve">s assumed for 10GHz in [3]. The SINR considering co-channel interference for both DL and UL scenarios is shown in </w:t>
      </w:r>
      <w:r w:rsidR="00823087">
        <w:rPr>
          <w:lang w:eastAsia="ja-JP"/>
        </w:rPr>
        <w:t>F</w:t>
      </w:r>
      <w:r w:rsidR="007439AB">
        <w:rPr>
          <w:lang w:eastAsia="ja-JP"/>
        </w:rPr>
        <w:t>igure</w:t>
      </w:r>
      <w:r w:rsidR="00937DBF">
        <w:rPr>
          <w:lang w:eastAsia="ja-JP"/>
        </w:rPr>
        <w:t xml:space="preserve"> 1, where the 10%, 50% and </w:t>
      </w:r>
      <w:r w:rsidR="00DE50F5">
        <w:rPr>
          <w:lang w:eastAsia="ja-JP"/>
        </w:rPr>
        <w:t xml:space="preserve">90% are marked. It can be observed that with 450m urban deployments, the DL and UL SINR are </w:t>
      </w:r>
      <w:r w:rsidR="0053201B">
        <w:rPr>
          <w:lang w:eastAsia="ja-JP"/>
        </w:rPr>
        <w:t xml:space="preserve">good enough and thus, we do not see necessity to assume lower ISDs for this frequency range. </w:t>
      </w:r>
    </w:p>
    <w:p w14:paraId="52D94157" w14:textId="77777777" w:rsidR="0053201B" w:rsidRDefault="0053201B" w:rsidP="00823087">
      <w:pPr>
        <w:spacing w:after="0"/>
        <w:jc w:val="both"/>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8D385B" w14:paraId="56230065" w14:textId="77777777" w:rsidTr="0038129F">
        <w:tc>
          <w:tcPr>
            <w:tcW w:w="4811" w:type="dxa"/>
          </w:tcPr>
          <w:p w14:paraId="31226E83" w14:textId="3326E1ED" w:rsidR="008D385B" w:rsidRDefault="0038129F" w:rsidP="00823087">
            <w:pPr>
              <w:spacing w:after="0"/>
              <w:jc w:val="both"/>
              <w:rPr>
                <w:lang w:eastAsia="ja-JP"/>
              </w:rPr>
            </w:pPr>
            <w:r w:rsidRPr="0038129F">
              <w:rPr>
                <w:noProof/>
                <w:lang w:eastAsia="ja-JP"/>
              </w:rPr>
              <w:lastRenderedPageBreak/>
              <w:drawing>
                <wp:inline distT="0" distB="0" distL="0" distR="0" wp14:anchorId="6FE7D4B1" wp14:editId="1EAEEEEB">
                  <wp:extent cx="2600325" cy="2078217"/>
                  <wp:effectExtent l="0" t="0" r="0" b="0"/>
                  <wp:docPr id="1369737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3028" t="4662" r="7544"/>
                          <a:stretch/>
                        </pic:blipFill>
                        <pic:spPr bwMode="auto">
                          <a:xfrm>
                            <a:off x="0" y="0"/>
                            <a:ext cx="2616938" cy="20914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1" w:type="dxa"/>
          </w:tcPr>
          <w:p w14:paraId="10F65B8E" w14:textId="69115138" w:rsidR="008D385B" w:rsidRDefault="00DE50F5" w:rsidP="0038129F">
            <w:pPr>
              <w:keepNext/>
              <w:spacing w:after="0"/>
              <w:jc w:val="both"/>
              <w:rPr>
                <w:lang w:eastAsia="ja-JP"/>
              </w:rPr>
            </w:pPr>
            <w:r w:rsidRPr="00DE50F5">
              <w:rPr>
                <w:noProof/>
                <w:lang w:eastAsia="ja-JP"/>
              </w:rPr>
              <w:drawing>
                <wp:inline distT="0" distB="0" distL="0" distR="0" wp14:anchorId="5DEDB1EE" wp14:editId="423DC09F">
                  <wp:extent cx="2647930" cy="2092325"/>
                  <wp:effectExtent l="0" t="0" r="635" b="3175"/>
                  <wp:docPr id="10292433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3160" t="5923" r="7956"/>
                          <a:stretch/>
                        </pic:blipFill>
                        <pic:spPr bwMode="auto">
                          <a:xfrm>
                            <a:off x="0" y="0"/>
                            <a:ext cx="2667855" cy="210806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E540FC9" w14:textId="73AC9067" w:rsidR="007439AB" w:rsidRDefault="0038129F" w:rsidP="0038129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UMa SINR CDF for (Left) DL (Right) UL</w:t>
      </w:r>
      <w:r w:rsidR="0053201B">
        <w:t>.</w:t>
      </w:r>
    </w:p>
    <w:p w14:paraId="52BDAB2B" w14:textId="1F991DAC" w:rsidR="0053201B" w:rsidRDefault="0053201B" w:rsidP="0053201B">
      <w:pPr>
        <w:rPr>
          <w:b/>
          <w:bCs/>
        </w:rPr>
      </w:pPr>
      <w:r w:rsidRPr="00E33B2F">
        <w:rPr>
          <w:b/>
          <w:bCs/>
          <w:u w:val="single"/>
          <w:lang w:eastAsia="ja-JP"/>
        </w:rPr>
        <w:t>Observation</w:t>
      </w:r>
      <w:r w:rsidR="007F342F">
        <w:rPr>
          <w:b/>
          <w:bCs/>
          <w:u w:val="single"/>
          <w:lang w:eastAsia="ja-JP"/>
        </w:rPr>
        <w:t xml:space="preserve"> 1</w:t>
      </w:r>
      <w:r w:rsidRPr="00353594">
        <w:rPr>
          <w:b/>
          <w:bCs/>
          <w:lang w:eastAsia="ja-JP"/>
        </w:rPr>
        <w:t xml:space="preserve">: </w:t>
      </w:r>
      <w:r w:rsidR="00CF77B6" w:rsidRPr="00353594">
        <w:rPr>
          <w:b/>
          <w:bCs/>
          <w:lang w:eastAsia="ja-JP"/>
        </w:rPr>
        <w:t xml:space="preserve">Urban macro deployments for the </w:t>
      </w:r>
      <w:r w:rsidR="00CF77B6" w:rsidRPr="00353594">
        <w:rPr>
          <w:b/>
          <w:bCs/>
        </w:rPr>
        <w:t xml:space="preserve">14800 – 15350 MHz frequency range is feasible based on the SINR statistics </w:t>
      </w:r>
      <w:r w:rsidR="00353594" w:rsidRPr="00353594">
        <w:rPr>
          <w:b/>
          <w:bCs/>
        </w:rPr>
        <w:t xml:space="preserve">for both downlink and uplink transmissions. </w:t>
      </w:r>
    </w:p>
    <w:p w14:paraId="6B4C26F1" w14:textId="2C8E5459" w:rsidR="00353594" w:rsidRDefault="00353594" w:rsidP="0053201B">
      <w:pPr>
        <w:rPr>
          <w:b/>
          <w:bCs/>
        </w:rPr>
      </w:pPr>
      <w:r w:rsidRPr="00E33B2F">
        <w:rPr>
          <w:b/>
          <w:bCs/>
          <w:u w:val="single"/>
        </w:rPr>
        <w:t>Proposal</w:t>
      </w:r>
      <w:r w:rsidR="007F342F">
        <w:rPr>
          <w:b/>
          <w:bCs/>
          <w:u w:val="single"/>
        </w:rPr>
        <w:t xml:space="preserve"> 1</w:t>
      </w:r>
      <w:r>
        <w:rPr>
          <w:b/>
          <w:bCs/>
        </w:rPr>
        <w:t xml:space="preserve">: RAN4 to </w:t>
      </w:r>
      <w:r w:rsidR="00E33B2F">
        <w:rPr>
          <w:b/>
          <w:bCs/>
        </w:rPr>
        <w:t xml:space="preserve">same deployment scenarios as TR 38.921 (UMa with ISD=450m, InH, and dense urban). </w:t>
      </w:r>
    </w:p>
    <w:p w14:paraId="5014D544" w14:textId="4699C7E8" w:rsidR="00277353" w:rsidRPr="00277353" w:rsidRDefault="00277353" w:rsidP="0053201B">
      <w:r w:rsidRPr="00277353">
        <w:t xml:space="preserve">Regarding coordination of deployment, the following was agreed in [2]: </w:t>
      </w:r>
    </w:p>
    <w:tbl>
      <w:tblPr>
        <w:tblStyle w:val="TableGrid"/>
        <w:tblW w:w="0" w:type="auto"/>
        <w:tblLook w:val="04A0" w:firstRow="1" w:lastRow="0" w:firstColumn="1" w:lastColumn="0" w:noHBand="0" w:noVBand="1"/>
      </w:tblPr>
      <w:tblGrid>
        <w:gridCol w:w="9622"/>
      </w:tblGrid>
      <w:tr w:rsidR="00277353" w14:paraId="0F6F698B" w14:textId="77777777" w:rsidTr="00277353">
        <w:tc>
          <w:tcPr>
            <w:tcW w:w="9622" w:type="dxa"/>
          </w:tcPr>
          <w:p w14:paraId="055C5804" w14:textId="77777777" w:rsidR="00B23D5E" w:rsidRPr="008D62C7" w:rsidRDefault="00B23D5E" w:rsidP="00B23D5E">
            <w:pPr>
              <w:spacing w:after="0"/>
              <w:ind w:left="284"/>
              <w:rPr>
                <w:u w:val="single"/>
              </w:rPr>
            </w:pPr>
            <w:r w:rsidRPr="0095125E">
              <w:rPr>
                <w:u w:val="single"/>
              </w:rPr>
              <w:t>Issue 3-</w:t>
            </w:r>
            <w:r>
              <w:rPr>
                <w:u w:val="single"/>
              </w:rPr>
              <w:t>3</w:t>
            </w:r>
            <w:r w:rsidRPr="0095125E">
              <w:rPr>
                <w:u w:val="single"/>
              </w:rPr>
              <w:t xml:space="preserve"> Initial </w:t>
            </w:r>
            <w:r>
              <w:rPr>
                <w:u w:val="single"/>
              </w:rPr>
              <w:t>coordinated operation</w:t>
            </w:r>
            <w:r w:rsidRPr="0095125E">
              <w:rPr>
                <w:u w:val="single"/>
              </w:rPr>
              <w:t xml:space="preserve"> </w:t>
            </w:r>
          </w:p>
          <w:p w14:paraId="42A9460E" w14:textId="77777777" w:rsidR="00B23D5E" w:rsidRPr="002E0B53" w:rsidRDefault="00B23D5E" w:rsidP="00B23D5E">
            <w:pPr>
              <w:pStyle w:val="ListParagraph"/>
              <w:numPr>
                <w:ilvl w:val="0"/>
                <w:numId w:val="6"/>
              </w:numPr>
              <w:spacing w:after="0"/>
              <w:ind w:left="1004"/>
            </w:pPr>
            <w:r w:rsidRPr="002E0B53">
              <w:t xml:space="preserve">Option 1: </w:t>
            </w:r>
          </w:p>
          <w:p w14:paraId="72F14E31" w14:textId="77777777" w:rsidR="00B23D5E" w:rsidRPr="002E0B53" w:rsidRDefault="00B23D5E" w:rsidP="00B23D5E">
            <w:pPr>
              <w:pStyle w:val="ListParagraph"/>
              <w:numPr>
                <w:ilvl w:val="1"/>
                <w:numId w:val="6"/>
              </w:numPr>
              <w:spacing w:after="0"/>
            </w:pPr>
            <w:r w:rsidRPr="002E0B53">
              <w:t>Co-ordinated for indoor</w:t>
            </w:r>
          </w:p>
          <w:p w14:paraId="5A15BFE4" w14:textId="665B0DC0" w:rsidR="00277353" w:rsidRPr="00B23D5E" w:rsidRDefault="00B23D5E" w:rsidP="00B23D5E">
            <w:pPr>
              <w:pStyle w:val="ListParagraph"/>
              <w:numPr>
                <w:ilvl w:val="1"/>
                <w:numId w:val="6"/>
              </w:numPr>
              <w:spacing w:after="0"/>
            </w:pPr>
            <w:r w:rsidRPr="002E0B53">
              <w:t>Both co-ordinated and un-co-ordinated for outdoor</w:t>
            </w:r>
          </w:p>
        </w:tc>
      </w:tr>
    </w:tbl>
    <w:p w14:paraId="7A6BB65C" w14:textId="1E69FD84" w:rsidR="00B23D5E" w:rsidRDefault="00B23D5E" w:rsidP="0053201B">
      <w:pPr>
        <w:rPr>
          <w:lang w:eastAsia="ja-JP"/>
        </w:rPr>
      </w:pPr>
      <w:r>
        <w:rPr>
          <w:lang w:eastAsia="ja-JP"/>
        </w:rPr>
        <w:t xml:space="preserve">In our views, </w:t>
      </w:r>
      <w:r w:rsidR="00243A28">
        <w:rPr>
          <w:lang w:eastAsia="ja-JP"/>
        </w:rPr>
        <w:t xml:space="preserve">indoor deployment is typically assumed to be </w:t>
      </w:r>
      <w:r w:rsidR="005C7EBB">
        <w:rPr>
          <w:lang w:eastAsia="ja-JP"/>
        </w:rPr>
        <w:t>co-ordinated</w:t>
      </w:r>
      <w:r w:rsidR="00243A28">
        <w:rPr>
          <w:lang w:eastAsia="ja-JP"/>
        </w:rPr>
        <w:t xml:space="preserve"> in most of the RAN4 adjacent channel coexistence studies (as an example see TR 38.803 and TR 38.921), thus, we propose to consider only co-</w:t>
      </w:r>
      <w:r w:rsidR="005C7EBB">
        <w:rPr>
          <w:lang w:eastAsia="ja-JP"/>
        </w:rPr>
        <w:t>ordinated deployment for indoor. For outdoor, having un-</w:t>
      </w:r>
      <w:r w:rsidR="00D54E35">
        <w:rPr>
          <w:lang w:eastAsia="ja-JP"/>
        </w:rPr>
        <w:t>coordinated</w:t>
      </w:r>
      <w:r w:rsidR="005C7EBB">
        <w:rPr>
          <w:lang w:eastAsia="ja-JP"/>
        </w:rPr>
        <w:t xml:space="preserve"> deployment has been the common assumption as well since </w:t>
      </w:r>
      <w:r w:rsidR="00D54E35">
        <w:rPr>
          <w:lang w:eastAsia="ja-JP"/>
        </w:rPr>
        <w:t xml:space="preserve">fully coordinated deployment between different operators requires additional complexity and coordination. Also </w:t>
      </w:r>
      <w:r w:rsidR="00715476">
        <w:rPr>
          <w:lang w:eastAsia="ja-JP"/>
        </w:rPr>
        <w:t xml:space="preserve">given the timeline to finalize the parameters for this frequency range, only un-coordinated deployment should be prioritized. </w:t>
      </w:r>
    </w:p>
    <w:p w14:paraId="2F76039F" w14:textId="2106C754" w:rsidR="00715476" w:rsidRPr="00715476" w:rsidRDefault="00715476" w:rsidP="0053201B">
      <w:pPr>
        <w:rPr>
          <w:b/>
          <w:bCs/>
        </w:rPr>
      </w:pPr>
      <w:r w:rsidRPr="00E33B2F">
        <w:rPr>
          <w:b/>
          <w:bCs/>
          <w:u w:val="single"/>
        </w:rPr>
        <w:t>Proposal</w:t>
      </w:r>
      <w:r>
        <w:rPr>
          <w:b/>
          <w:bCs/>
          <w:u w:val="single"/>
        </w:rPr>
        <w:t xml:space="preserve"> </w:t>
      </w:r>
      <w:r w:rsidR="00482050">
        <w:rPr>
          <w:b/>
          <w:bCs/>
          <w:u w:val="single"/>
        </w:rPr>
        <w:t>2</w:t>
      </w:r>
      <w:r>
        <w:rPr>
          <w:b/>
          <w:bCs/>
        </w:rPr>
        <w:t>: RAN4 to consider coordinated indoor and uncoordinated outdoor deployments in the adjacent channel coexistence framework.</w:t>
      </w:r>
    </w:p>
    <w:p w14:paraId="48F4E0ED" w14:textId="6526F958" w:rsidR="00D4248B" w:rsidRPr="00D4248B" w:rsidRDefault="006A709E" w:rsidP="00823087">
      <w:pPr>
        <w:pStyle w:val="Heading3"/>
        <w:jc w:val="both"/>
        <w:rPr>
          <w:lang w:eastAsia="ja-JP"/>
        </w:rPr>
      </w:pPr>
      <w:r>
        <w:rPr>
          <w:lang w:eastAsia="ja-JP"/>
        </w:rPr>
        <w:t>2.</w:t>
      </w:r>
      <w:r w:rsidR="00E94167">
        <w:rPr>
          <w:lang w:eastAsia="ja-JP"/>
        </w:rPr>
        <w:t>2</w:t>
      </w:r>
      <w:r w:rsidR="001B15BE">
        <w:rPr>
          <w:lang w:eastAsia="ja-JP"/>
        </w:rPr>
        <w:t>.2</w:t>
      </w:r>
      <w:r>
        <w:rPr>
          <w:lang w:eastAsia="ja-JP"/>
        </w:rPr>
        <w:tab/>
      </w:r>
      <w:r w:rsidR="00D4248B" w:rsidRPr="00D4248B">
        <w:rPr>
          <w:lang w:eastAsia="ja-JP"/>
        </w:rPr>
        <w:t>Channel bandwidth</w:t>
      </w:r>
    </w:p>
    <w:p w14:paraId="7D9EA049" w14:textId="71782CBF" w:rsidR="00D4248B" w:rsidRDefault="00F57B90" w:rsidP="00823087">
      <w:pPr>
        <w:jc w:val="both"/>
      </w:pPr>
      <w:r>
        <w:t xml:space="preserve">In general, wider channel bandwidths should be enabled with increasing frequency following same approach as FR1 (3 to 100 MHz) to FR2 (50 to 400 MHz). This comes with increasing SCS and increasing RB width and availability of the spectrum. </w:t>
      </w:r>
      <w:r w:rsidR="00AE510F">
        <w:t xml:space="preserve">Channel bandwidth of </w:t>
      </w:r>
      <w:r w:rsidR="00AE510F" w:rsidRPr="00B11736">
        <w:t>100 MHz has been considered as a representative channel bandwidth</w:t>
      </w:r>
      <w:r w:rsidR="00AE510F">
        <w:t xml:space="preserve"> in TR 38.921 for 6GHz and 10GHz. </w:t>
      </w:r>
      <w:r w:rsidR="002D37EF">
        <w:t xml:space="preserve">Accordingly, it is proposed that </w:t>
      </w:r>
      <w:r w:rsidR="00B11736">
        <w:t xml:space="preserve">higher channel bandwidth (e.g., 200 MHz) should </w:t>
      </w:r>
      <w:r w:rsidR="001D1E76">
        <w:t>be considered as a baseline for this frequency range</w:t>
      </w:r>
      <w:r w:rsidR="007855B3">
        <w:t xml:space="preserve">. </w:t>
      </w:r>
    </w:p>
    <w:p w14:paraId="295DA252" w14:textId="4F2D2110" w:rsidR="007855B3" w:rsidRDefault="007855B3" w:rsidP="00823087">
      <w:pPr>
        <w:jc w:val="both"/>
        <w:rPr>
          <w:b/>
          <w:bCs/>
        </w:rPr>
      </w:pPr>
      <w:r w:rsidRPr="00F076B6">
        <w:rPr>
          <w:b/>
          <w:bCs/>
          <w:u w:val="single"/>
        </w:rPr>
        <w:t xml:space="preserve">Proposal </w:t>
      </w:r>
      <w:r w:rsidR="00482050">
        <w:rPr>
          <w:b/>
          <w:bCs/>
          <w:u w:val="single"/>
        </w:rPr>
        <w:t>3</w:t>
      </w:r>
      <w:r w:rsidRPr="00915421">
        <w:rPr>
          <w:b/>
          <w:bCs/>
        </w:rPr>
        <w:t xml:space="preserve">: </w:t>
      </w:r>
      <w:r w:rsidR="00B75FB9">
        <w:rPr>
          <w:b/>
          <w:bCs/>
        </w:rPr>
        <w:t xml:space="preserve">RAN4 to consider </w:t>
      </w:r>
      <w:r w:rsidR="001D1E76">
        <w:rPr>
          <w:b/>
          <w:bCs/>
        </w:rPr>
        <w:t>2</w:t>
      </w:r>
      <w:r w:rsidR="00B75FB9">
        <w:rPr>
          <w:b/>
          <w:bCs/>
        </w:rPr>
        <w:t xml:space="preserve">00 MHz as a baseline </w:t>
      </w:r>
      <w:r w:rsidR="001D1E76">
        <w:rPr>
          <w:b/>
          <w:bCs/>
        </w:rPr>
        <w:t>in the adjacent channel</w:t>
      </w:r>
      <w:r w:rsidR="00A26E72">
        <w:rPr>
          <w:b/>
          <w:bCs/>
        </w:rPr>
        <w:t xml:space="preserve"> coexistence</w:t>
      </w:r>
      <w:r w:rsidR="001D1E76">
        <w:rPr>
          <w:b/>
          <w:bCs/>
        </w:rPr>
        <w:t xml:space="preserve"> framework. </w:t>
      </w:r>
    </w:p>
    <w:p w14:paraId="7898D7CA" w14:textId="4C7EF92D" w:rsidR="007E5653" w:rsidRDefault="007E5653" w:rsidP="00823087">
      <w:pPr>
        <w:pStyle w:val="Heading3"/>
        <w:jc w:val="both"/>
      </w:pPr>
      <w:r>
        <w:t>2.</w:t>
      </w:r>
      <w:r w:rsidR="001B15BE">
        <w:t>2.</w:t>
      </w:r>
      <w:r>
        <w:t>3</w:t>
      </w:r>
      <w:r>
        <w:tab/>
        <w:t xml:space="preserve">Network layout model and propagation model </w:t>
      </w:r>
    </w:p>
    <w:p w14:paraId="1A9B6AA1" w14:textId="77777777" w:rsidR="007E5653" w:rsidRDefault="007E5653" w:rsidP="00823087">
      <w:pPr>
        <w:jc w:val="both"/>
      </w:pPr>
      <w:r>
        <w:t xml:space="preserve">We propose to reuse the network layout model captured in Section 4.2.1 in [2] for UMa and InH, while reuse the dense urban model from TR 38.803. </w:t>
      </w:r>
    </w:p>
    <w:p w14:paraId="57565AE8" w14:textId="402A5989" w:rsidR="007E5653" w:rsidRDefault="007E5653" w:rsidP="00823087">
      <w:pPr>
        <w:jc w:val="both"/>
        <w:rPr>
          <w:b/>
          <w:bCs/>
        </w:rPr>
      </w:pPr>
      <w:r w:rsidRPr="0091658C">
        <w:rPr>
          <w:b/>
          <w:bCs/>
          <w:u w:val="single"/>
        </w:rPr>
        <w:t xml:space="preserve">Proposal </w:t>
      </w:r>
      <w:r w:rsidR="00482050">
        <w:rPr>
          <w:b/>
          <w:bCs/>
          <w:u w:val="single"/>
        </w:rPr>
        <w:t>4</w:t>
      </w:r>
      <w:r w:rsidRPr="0039563D">
        <w:rPr>
          <w:b/>
          <w:bCs/>
        </w:rPr>
        <w:t xml:space="preserve">: RAN4 to reuse the network layout model </w:t>
      </w:r>
      <w:r>
        <w:rPr>
          <w:b/>
          <w:bCs/>
        </w:rPr>
        <w:t xml:space="preserve">and relevant propagation models </w:t>
      </w:r>
      <w:r w:rsidRPr="0039563D">
        <w:rPr>
          <w:b/>
          <w:bCs/>
        </w:rPr>
        <w:t xml:space="preserve">in TR 38.803 for urban macro, indoor hotspot, and dense urban deployments. </w:t>
      </w:r>
    </w:p>
    <w:p w14:paraId="13C5B0E9" w14:textId="77777777" w:rsidR="00F14541" w:rsidRDefault="00F14541" w:rsidP="00F14541">
      <w:pPr>
        <w:pStyle w:val="Heading3"/>
        <w:jc w:val="both"/>
      </w:pPr>
      <w:r>
        <w:t xml:space="preserve">2.3.5 </w:t>
      </w:r>
      <w:r>
        <w:tab/>
        <w:t xml:space="preserve">Noise figure </w:t>
      </w:r>
    </w:p>
    <w:p w14:paraId="22209D68" w14:textId="77777777" w:rsidR="00F14541" w:rsidRDefault="00F14541" w:rsidP="00F14541">
      <w:pPr>
        <w:jc w:val="both"/>
      </w:pPr>
      <w:r>
        <w:t xml:space="preserve">Several values of noise figures have been reported in [3]. As a starting point, we propose to consider for urban macro deployments 9 dB as noise figure for BS and [9-13] dB for the UE. </w:t>
      </w:r>
    </w:p>
    <w:p w14:paraId="7E9E2385" w14:textId="4F21ED3D" w:rsidR="00F14541" w:rsidRDefault="00F14541" w:rsidP="00823087">
      <w:pPr>
        <w:jc w:val="both"/>
        <w:rPr>
          <w:b/>
          <w:bCs/>
        </w:rPr>
      </w:pPr>
      <w:r w:rsidRPr="0091658C">
        <w:rPr>
          <w:b/>
          <w:bCs/>
          <w:u w:val="single"/>
        </w:rPr>
        <w:t xml:space="preserve">Proposal </w:t>
      </w:r>
      <w:r w:rsidR="006C2DEE">
        <w:rPr>
          <w:b/>
          <w:bCs/>
          <w:u w:val="single"/>
        </w:rPr>
        <w:t>5</w:t>
      </w:r>
      <w:r w:rsidRPr="00911599">
        <w:rPr>
          <w:b/>
          <w:bCs/>
        </w:rPr>
        <w:t xml:space="preserve">: RAN4 to consider for noise figure for urban macro deployments 9 dB and [9-13] dB for BS and UE, respectively.  </w:t>
      </w:r>
    </w:p>
    <w:p w14:paraId="786B2B8A" w14:textId="0C6455DC" w:rsidR="00884DBF" w:rsidRDefault="00884DBF" w:rsidP="001B15BE">
      <w:pPr>
        <w:pStyle w:val="Heading2"/>
      </w:pPr>
      <w:r>
        <w:lastRenderedPageBreak/>
        <w:t>2.3</w:t>
      </w:r>
      <w:r>
        <w:tab/>
      </w:r>
      <w:r w:rsidRPr="001B15BE">
        <w:rPr>
          <w:rStyle w:val="Heading2Char"/>
        </w:rPr>
        <w:t>BS parameters</w:t>
      </w:r>
      <w:r>
        <w:t xml:space="preserve"> </w:t>
      </w:r>
    </w:p>
    <w:p w14:paraId="42723BA7" w14:textId="1D0A0E97" w:rsidR="00884DBF" w:rsidRPr="009C5EBE" w:rsidRDefault="00884DBF" w:rsidP="00884DBF">
      <w:pPr>
        <w:jc w:val="both"/>
      </w:pPr>
      <w:r>
        <w:t xml:space="preserve">For the BS AAS parameters, it is expected that large number of arrays to be deployed at the gNB to compensate for the incurred propagation losses at this frequency range. For the 4400-4800MHz, 192 elements were assumed, while discussions in the 7125 – 8400 MHz frequency range are in the ballpark of 384 antenna elements. To maintain the same physical area of the antenna array in the 14800 – 15350 MHz frequency range, the number of elements is expected to be larger than 1k elements. </w:t>
      </w:r>
      <w:r w:rsidRPr="0F4A4BAB">
        <w:rPr>
          <w:lang w:val="en-US"/>
        </w:rPr>
        <w:t xml:space="preserve">Accordingly, RAN4 </w:t>
      </w:r>
      <w:r>
        <w:rPr>
          <w:lang w:val="en-US"/>
        </w:rPr>
        <w:t xml:space="preserve">will need to </w:t>
      </w:r>
      <w:r w:rsidR="00834CAB">
        <w:rPr>
          <w:lang w:val="en-US"/>
        </w:rPr>
        <w:t>study</w:t>
      </w:r>
      <w:r>
        <w:rPr>
          <w:lang w:val="en-US"/>
        </w:rPr>
        <w:t xml:space="preserve"> the feasibility of having such number of antenna elements in that frequency range. </w:t>
      </w:r>
      <w:r w:rsidRPr="0F4A4BAB">
        <w:rPr>
          <w:lang w:val="en-US"/>
        </w:rPr>
        <w:t xml:space="preserve"> </w:t>
      </w:r>
    </w:p>
    <w:p w14:paraId="3367580D" w14:textId="166E4663" w:rsidR="00884DBF" w:rsidRDefault="00884DBF" w:rsidP="00884DBF">
      <w:pPr>
        <w:jc w:val="both"/>
        <w:rPr>
          <w:b/>
          <w:bCs/>
        </w:rPr>
      </w:pPr>
      <w:r w:rsidRPr="00AC7669">
        <w:rPr>
          <w:b/>
          <w:bCs/>
          <w:u w:val="single"/>
        </w:rPr>
        <w:t>Proposal</w:t>
      </w:r>
      <w:r w:rsidR="006C2DEE">
        <w:rPr>
          <w:b/>
          <w:bCs/>
          <w:u w:val="single"/>
        </w:rPr>
        <w:t xml:space="preserve"> 6</w:t>
      </w:r>
      <w:r w:rsidRPr="00297A8F">
        <w:rPr>
          <w:b/>
          <w:bCs/>
        </w:rPr>
        <w:t xml:space="preserve">: RAN4 to </w:t>
      </w:r>
      <w:r>
        <w:rPr>
          <w:b/>
          <w:bCs/>
        </w:rPr>
        <w:t>study feasibility</w:t>
      </w:r>
      <w:r w:rsidRPr="00297A8F">
        <w:rPr>
          <w:b/>
          <w:bCs/>
        </w:rPr>
        <w:t xml:space="preserve"> of </w:t>
      </w:r>
      <w:r>
        <w:rPr>
          <w:b/>
          <w:bCs/>
        </w:rPr>
        <w:t>deploying larger</w:t>
      </w:r>
      <w:r w:rsidRPr="00297A8F">
        <w:rPr>
          <w:b/>
          <w:bCs/>
        </w:rPr>
        <w:t xml:space="preserve"> </w:t>
      </w:r>
      <w:r>
        <w:rPr>
          <w:b/>
          <w:bCs/>
        </w:rPr>
        <w:t>number of antenna elements in the BS compared to FR1 for the 15 GHz range.</w:t>
      </w:r>
    </w:p>
    <w:p w14:paraId="1EA9B128" w14:textId="77777777" w:rsidR="00884DBF" w:rsidRDefault="00884DBF" w:rsidP="00884DBF">
      <w:pPr>
        <w:jc w:val="both"/>
      </w:pPr>
      <w:r w:rsidRPr="00382371">
        <w:t xml:space="preserve">For the sake of advancing the adjacent channel studies, we propose to consider as a baseline </w:t>
      </w:r>
      <w:r>
        <w:t xml:space="preserve">1024 elements and further study the feasibility of employing higher number of antenna elements. </w:t>
      </w:r>
    </w:p>
    <w:p w14:paraId="6EFE1B7A" w14:textId="49D5E88C" w:rsidR="00884DBF" w:rsidRPr="00A3193E" w:rsidRDefault="00884DBF" w:rsidP="00884DBF">
      <w:pPr>
        <w:jc w:val="both"/>
        <w:rPr>
          <w:b/>
          <w:bCs/>
        </w:rPr>
      </w:pPr>
      <w:r w:rsidRPr="00BA397F">
        <w:rPr>
          <w:b/>
          <w:bCs/>
          <w:u w:val="single"/>
        </w:rPr>
        <w:t>Proposal</w:t>
      </w:r>
      <w:r w:rsidR="006C2DEE">
        <w:rPr>
          <w:b/>
          <w:bCs/>
          <w:u w:val="single"/>
        </w:rPr>
        <w:t xml:space="preserve"> 7</w:t>
      </w:r>
      <w:r w:rsidRPr="00A3193E">
        <w:rPr>
          <w:b/>
          <w:bCs/>
        </w:rPr>
        <w:t xml:space="preserve">: RAN4 to adopt 1024 antenna elements as a baseline for the adjacent channel coexistence and further study the feasibility of employing higher number of antenna elements. </w:t>
      </w:r>
    </w:p>
    <w:p w14:paraId="25711042" w14:textId="77777777" w:rsidR="00884DBF" w:rsidRDefault="00884DBF" w:rsidP="00884DBF">
      <w:pPr>
        <w:jc w:val="both"/>
        <w:rPr>
          <w:lang w:val="en-US"/>
        </w:rPr>
      </w:pPr>
      <w:r>
        <w:t xml:space="preserve">Another important AAS aspect is the underlying AAS pattern model. For </w:t>
      </w:r>
      <w:r>
        <w:rPr>
          <w:lang w:val="en-US"/>
        </w:rPr>
        <w:t>1710 – 4990 MHz</w:t>
      </w:r>
      <w:r>
        <w:t xml:space="preserve"> frequency range, an </w:t>
      </w:r>
      <w:r>
        <w:rPr>
          <w:lang w:val="en-US"/>
        </w:rPr>
        <w:t>extended version of the AAS array antenna model is in TR 38.803, subclause 5.2.3.2.4 to support vertical sub-array geometries</w:t>
      </w:r>
      <w:r w:rsidRPr="00540DBD">
        <w:t xml:space="preserve"> </w:t>
      </w:r>
      <w:r>
        <w:t xml:space="preserve">with fixed </w:t>
      </w:r>
      <w:r w:rsidRPr="00D51E6B">
        <w:t>sub-array down-tilt</w:t>
      </w:r>
      <w:r>
        <w:rPr>
          <w:lang w:val="en-US"/>
        </w:rPr>
        <w:t xml:space="preserve">. For the 7125 – 8400 MHz frequency range, discussions are ongoing on the optimal set of AAS parameters with subarrays. It is important that AAS parameters with subarrays are selected to facilitate the coexistence with other incumbent (3GPP and non-3GPP) networks and services.  </w:t>
      </w:r>
    </w:p>
    <w:p w14:paraId="692EC8C1" w14:textId="31C3EBFA" w:rsidR="00884DBF" w:rsidRPr="0039563D" w:rsidRDefault="00884DBF" w:rsidP="00823087">
      <w:pPr>
        <w:jc w:val="both"/>
        <w:rPr>
          <w:b/>
          <w:bCs/>
        </w:rPr>
      </w:pPr>
      <w:r w:rsidRPr="001E51AD">
        <w:rPr>
          <w:b/>
          <w:bCs/>
          <w:u w:val="single"/>
          <w:lang w:val="en-US"/>
        </w:rPr>
        <w:t>Observation</w:t>
      </w:r>
      <w:r w:rsidR="006C2DEE">
        <w:rPr>
          <w:b/>
          <w:bCs/>
          <w:u w:val="single"/>
          <w:lang w:val="en-US"/>
        </w:rPr>
        <w:t xml:space="preserve"> 2</w:t>
      </w:r>
      <w:r w:rsidRPr="00647AA7">
        <w:rPr>
          <w:b/>
          <w:bCs/>
          <w:lang w:val="en-US"/>
        </w:rPr>
        <w:t xml:space="preserve">: BS AAS parameters should be selected to facilitate the coexistence with other incumbent services. </w:t>
      </w:r>
    </w:p>
    <w:p w14:paraId="61DDC875" w14:textId="04902062" w:rsidR="001B15BE" w:rsidRDefault="007E5653" w:rsidP="001B15BE">
      <w:pPr>
        <w:pStyle w:val="Heading2"/>
      </w:pPr>
      <w:r>
        <w:t>2.</w:t>
      </w:r>
      <w:r w:rsidR="001B15BE">
        <w:t>4 UE parameters</w:t>
      </w:r>
      <w:r>
        <w:t xml:space="preserve"> </w:t>
      </w:r>
      <w:r>
        <w:tab/>
      </w:r>
    </w:p>
    <w:p w14:paraId="26EA6DDE" w14:textId="2942C2F8" w:rsidR="007E5653" w:rsidRDefault="007C51C5" w:rsidP="00823087">
      <w:pPr>
        <w:pStyle w:val="Heading3"/>
        <w:jc w:val="both"/>
      </w:pPr>
      <w:r>
        <w:t xml:space="preserve">2.4.1 </w:t>
      </w:r>
      <w:r>
        <w:tab/>
      </w:r>
      <w:r w:rsidR="00884DBF">
        <w:t xml:space="preserve">UE </w:t>
      </w:r>
      <w:r w:rsidR="007E5653">
        <w:t xml:space="preserve">Transmission power control </w:t>
      </w:r>
    </w:p>
    <w:p w14:paraId="0A85B398" w14:textId="12C62C9B" w:rsidR="007E5653" w:rsidRDefault="007E5653" w:rsidP="00823087">
      <w:pPr>
        <w:jc w:val="both"/>
      </w:pPr>
      <w:r>
        <w:t>Main component of the RAN4 power control algorithm adopted in [2, 3] is the CLxile value and SNR target. Typical UL SNR target is 15 dB. CLxile should be then evaluated depending on several parameters (e..g, BS noise figure, UE conducted power, and channel BW) to ensure that the UL SNR target is met. At this stage, it is important that RAN4 converges on an UL SNR target</w:t>
      </w:r>
      <w:r w:rsidR="00884DBF">
        <w:t xml:space="preserve"> and </w:t>
      </w:r>
      <w:r>
        <w:t>UE conducted power</w:t>
      </w:r>
      <w:r w:rsidR="00884DBF">
        <w:t xml:space="preserve"> to progress the coexistence studies</w:t>
      </w:r>
      <w:r>
        <w:t xml:space="preserve">. </w:t>
      </w:r>
    </w:p>
    <w:p w14:paraId="46478ECF" w14:textId="33B725DD" w:rsidR="007E5653" w:rsidRDefault="007E5653" w:rsidP="00823087">
      <w:pPr>
        <w:jc w:val="both"/>
        <w:rPr>
          <w:b/>
          <w:bCs/>
        </w:rPr>
      </w:pPr>
      <w:r w:rsidRPr="0091658C">
        <w:rPr>
          <w:b/>
          <w:bCs/>
          <w:u w:val="single"/>
        </w:rPr>
        <w:t xml:space="preserve">Proposal </w:t>
      </w:r>
      <w:r>
        <w:rPr>
          <w:b/>
          <w:bCs/>
          <w:u w:val="single"/>
        </w:rPr>
        <w:t>10</w:t>
      </w:r>
      <w:r w:rsidRPr="00947EAE">
        <w:rPr>
          <w:b/>
          <w:bCs/>
        </w:rPr>
        <w:t xml:space="preserve">: RAN4 to </w:t>
      </w:r>
      <w:r w:rsidR="00884DBF">
        <w:rPr>
          <w:b/>
          <w:bCs/>
        </w:rPr>
        <w:t>agree on 15dB as UL SNR target and 2</w:t>
      </w:r>
      <w:r w:rsidR="002A0377">
        <w:rPr>
          <w:b/>
          <w:bCs/>
        </w:rPr>
        <w:t xml:space="preserve">6 dBm as UE maximum output power. </w:t>
      </w:r>
      <w:r w:rsidRPr="00947EAE">
        <w:rPr>
          <w:b/>
          <w:bCs/>
        </w:rPr>
        <w:t xml:space="preserve"> </w:t>
      </w:r>
    </w:p>
    <w:p w14:paraId="2F641FB2" w14:textId="621C3B19" w:rsidR="00F3200C" w:rsidRDefault="006C2DEE" w:rsidP="006C2DEE">
      <w:pPr>
        <w:pStyle w:val="Heading3"/>
      </w:pPr>
      <w:r>
        <w:t>2.4.2</w:t>
      </w:r>
      <w:r>
        <w:tab/>
      </w:r>
      <w:r w:rsidR="00F3200C">
        <w:t>UE beamforming</w:t>
      </w:r>
    </w:p>
    <w:p w14:paraId="2F20B3A0" w14:textId="5A700577" w:rsidR="00F3200C" w:rsidRDefault="00F3200C" w:rsidP="00F3200C">
      <w:pPr>
        <w:jc w:val="both"/>
      </w:pPr>
      <w:r>
        <w:t>In [3], no UE beamforming was considered and an isotropic antenna with 0 dBi was assumed for 7GHz and 10 GHz. In addition, we have the following captured in [</w:t>
      </w:r>
      <w:r w:rsidR="00FC639D">
        <w:t>2</w:t>
      </w:r>
      <w:r>
        <w:t>] regarding the UE beamforming:</w:t>
      </w:r>
    </w:p>
    <w:tbl>
      <w:tblPr>
        <w:tblStyle w:val="TableGrid"/>
        <w:tblW w:w="0" w:type="auto"/>
        <w:tblLook w:val="04A0" w:firstRow="1" w:lastRow="0" w:firstColumn="1" w:lastColumn="0" w:noHBand="0" w:noVBand="1"/>
      </w:tblPr>
      <w:tblGrid>
        <w:gridCol w:w="9622"/>
      </w:tblGrid>
      <w:tr w:rsidR="00F3200C" w14:paraId="1F453816" w14:textId="77777777" w:rsidTr="00DA7AED">
        <w:tc>
          <w:tcPr>
            <w:tcW w:w="9622" w:type="dxa"/>
          </w:tcPr>
          <w:p w14:paraId="2CB768B3" w14:textId="77777777" w:rsidR="005A71D8" w:rsidRDefault="005A71D8" w:rsidP="005A71D8">
            <w:pPr>
              <w:spacing w:after="0"/>
              <w:ind w:left="284"/>
              <w:rPr>
                <w:u w:val="single"/>
              </w:rPr>
            </w:pPr>
            <w:r>
              <w:rPr>
                <w:u w:val="single"/>
              </w:rPr>
              <w:t>Issue 3-1 Common understanding on UE antenna array options</w:t>
            </w:r>
          </w:p>
          <w:p w14:paraId="13385EEA" w14:textId="77777777" w:rsidR="005A71D8" w:rsidRPr="002E0B53" w:rsidRDefault="005A71D8" w:rsidP="005A71D8">
            <w:pPr>
              <w:pStyle w:val="ListParagraph"/>
              <w:numPr>
                <w:ilvl w:val="0"/>
                <w:numId w:val="7"/>
              </w:numPr>
              <w:spacing w:after="0"/>
              <w:ind w:left="1004"/>
              <w:rPr>
                <w:u w:val="single"/>
              </w:rPr>
            </w:pPr>
            <w:r w:rsidRPr="002E0B53">
              <w:t>Option 1: “UE beamforming” (FR2 like)</w:t>
            </w:r>
          </w:p>
          <w:p w14:paraId="749E0036" w14:textId="77777777" w:rsidR="005A71D8" w:rsidRPr="002E0B53" w:rsidRDefault="005A71D8" w:rsidP="005A71D8">
            <w:pPr>
              <w:pStyle w:val="ListParagraph"/>
              <w:numPr>
                <w:ilvl w:val="1"/>
                <w:numId w:val="7"/>
              </w:numPr>
              <w:spacing w:after="0"/>
              <w:ind w:left="1724"/>
              <w:rPr>
                <w:u w:val="single"/>
              </w:rPr>
            </w:pPr>
            <w:r w:rsidRPr="002E0B53">
              <w:t>Assumed to be FR2 like UE, with two panels similar to Rel-14 NR study 38.803</w:t>
            </w:r>
          </w:p>
          <w:p w14:paraId="6C7B0336" w14:textId="77777777" w:rsidR="005A71D8" w:rsidRPr="002E0B53" w:rsidRDefault="005A71D8" w:rsidP="005A71D8">
            <w:pPr>
              <w:pStyle w:val="ListParagraph"/>
              <w:numPr>
                <w:ilvl w:val="1"/>
                <w:numId w:val="7"/>
              </w:numPr>
              <w:spacing w:after="0"/>
              <w:ind w:left="1724"/>
              <w:rPr>
                <w:u w:val="single"/>
              </w:rPr>
            </w:pPr>
            <w:r w:rsidRPr="002E0B53">
              <w:t>Analogue like beamforming</w:t>
            </w:r>
          </w:p>
          <w:p w14:paraId="46372887" w14:textId="77777777" w:rsidR="005A71D8" w:rsidRPr="002E0B53" w:rsidRDefault="005A71D8" w:rsidP="005A71D8">
            <w:pPr>
              <w:pStyle w:val="ListParagraph"/>
              <w:numPr>
                <w:ilvl w:val="1"/>
                <w:numId w:val="7"/>
              </w:numPr>
              <w:spacing w:after="0"/>
              <w:ind w:left="1724"/>
            </w:pPr>
            <w:r w:rsidRPr="002E0B53">
              <w:t>Option 1a: 2x2 antennas per panel</w:t>
            </w:r>
          </w:p>
          <w:p w14:paraId="4D1A8AE6" w14:textId="77777777" w:rsidR="005A71D8" w:rsidRPr="002E0B53" w:rsidRDefault="005A71D8" w:rsidP="005A71D8">
            <w:pPr>
              <w:pStyle w:val="ListParagraph"/>
              <w:numPr>
                <w:ilvl w:val="0"/>
                <w:numId w:val="7"/>
              </w:numPr>
              <w:spacing w:after="0"/>
              <w:ind w:left="1004"/>
            </w:pPr>
            <w:r w:rsidRPr="002E0B53">
              <w:t>Option 2: FR1 like</w:t>
            </w:r>
          </w:p>
          <w:p w14:paraId="0E4F7AD1" w14:textId="77777777" w:rsidR="005A71D8" w:rsidRPr="002E0B53" w:rsidRDefault="005A71D8" w:rsidP="005A71D8">
            <w:pPr>
              <w:pStyle w:val="ListParagraph"/>
              <w:numPr>
                <w:ilvl w:val="1"/>
                <w:numId w:val="7"/>
              </w:numPr>
              <w:spacing w:after="0"/>
              <w:ind w:left="1724"/>
            </w:pPr>
            <w:r w:rsidRPr="002E0B53">
              <w:t>Assumed to be FR1 like UE with more than one TX/RX antenna</w:t>
            </w:r>
          </w:p>
          <w:p w14:paraId="1A274E90" w14:textId="77777777" w:rsidR="005A71D8" w:rsidRPr="002E0B53" w:rsidRDefault="005A71D8" w:rsidP="005A71D8">
            <w:pPr>
              <w:pStyle w:val="ListParagraph"/>
              <w:numPr>
                <w:ilvl w:val="1"/>
                <w:numId w:val="7"/>
              </w:numPr>
              <w:spacing w:after="0"/>
              <w:ind w:left="1724"/>
            </w:pPr>
            <w:r w:rsidRPr="002E0B53">
              <w:t>Isotropic antennas</w:t>
            </w:r>
          </w:p>
          <w:p w14:paraId="70FDAB59" w14:textId="77777777" w:rsidR="005A71D8" w:rsidRPr="002E0B53" w:rsidRDefault="005A71D8" w:rsidP="005A71D8">
            <w:pPr>
              <w:pStyle w:val="ListParagraph"/>
              <w:numPr>
                <w:ilvl w:val="1"/>
                <w:numId w:val="7"/>
              </w:numPr>
              <w:spacing w:after="0"/>
              <w:ind w:left="1724"/>
            </w:pPr>
            <w:r w:rsidRPr="002E0B53">
              <w:t>Option 2a: 2 TX</w:t>
            </w:r>
          </w:p>
          <w:p w14:paraId="4EA368A5" w14:textId="77777777" w:rsidR="005A71D8" w:rsidRPr="002E0B53" w:rsidRDefault="005A71D8" w:rsidP="005A71D8">
            <w:pPr>
              <w:pStyle w:val="ListParagraph"/>
              <w:numPr>
                <w:ilvl w:val="1"/>
                <w:numId w:val="7"/>
              </w:numPr>
              <w:spacing w:after="0"/>
              <w:ind w:left="1724"/>
            </w:pPr>
            <w:r w:rsidRPr="002E0B53">
              <w:t>Option 2b: 4 TX</w:t>
            </w:r>
          </w:p>
          <w:p w14:paraId="6DF270C2" w14:textId="77777777" w:rsidR="005A71D8" w:rsidRPr="002E0B53" w:rsidRDefault="005A71D8" w:rsidP="005A71D8">
            <w:pPr>
              <w:pStyle w:val="ListParagraph"/>
              <w:numPr>
                <w:ilvl w:val="1"/>
                <w:numId w:val="7"/>
              </w:numPr>
              <w:spacing w:after="0"/>
              <w:ind w:left="1724"/>
            </w:pPr>
            <w:r w:rsidRPr="002E0B53">
              <w:t>Option 2c: 4 RX</w:t>
            </w:r>
          </w:p>
          <w:p w14:paraId="08DCB51F" w14:textId="77777777" w:rsidR="005A71D8" w:rsidRPr="002E0B53" w:rsidRDefault="005A71D8" w:rsidP="005A71D8">
            <w:pPr>
              <w:pStyle w:val="ListParagraph"/>
              <w:numPr>
                <w:ilvl w:val="1"/>
                <w:numId w:val="7"/>
              </w:numPr>
              <w:spacing w:after="0"/>
              <w:ind w:left="1724"/>
            </w:pPr>
            <w:r w:rsidRPr="002E0B53">
              <w:t>Option 2d: 6 RX</w:t>
            </w:r>
          </w:p>
          <w:p w14:paraId="1497D14D" w14:textId="2595228A" w:rsidR="00F3200C" w:rsidRDefault="005A71D8" w:rsidP="005A71D8">
            <w:pPr>
              <w:pStyle w:val="ListParagraph"/>
              <w:numPr>
                <w:ilvl w:val="1"/>
                <w:numId w:val="7"/>
              </w:numPr>
              <w:spacing w:after="0"/>
              <w:ind w:left="1724"/>
            </w:pPr>
            <w:r w:rsidRPr="002E0B53">
              <w:t>Option 2e: 8 RX</w:t>
            </w:r>
          </w:p>
        </w:tc>
      </w:tr>
    </w:tbl>
    <w:p w14:paraId="3D8577EA" w14:textId="77777777" w:rsidR="00F3200C" w:rsidRDefault="00F3200C" w:rsidP="00F3200C">
      <w:pPr>
        <w:jc w:val="both"/>
      </w:pPr>
    </w:p>
    <w:p w14:paraId="44561044" w14:textId="209744F6" w:rsidR="00F3200C" w:rsidRDefault="00487D81" w:rsidP="00F3200C">
      <w:pPr>
        <w:jc w:val="both"/>
      </w:pPr>
      <w:r>
        <w:t>I</w:t>
      </w:r>
      <w:r w:rsidR="00F3200C">
        <w:t xml:space="preserve">t is expected that </w:t>
      </w:r>
      <w:r w:rsidR="00FF2707">
        <w:t xml:space="preserve">further </w:t>
      </w:r>
      <w:r>
        <w:t>down-scoping</w:t>
      </w:r>
      <w:r w:rsidR="00FF2707">
        <w:t xml:space="preserve"> of the above options would follow in RAN4</w:t>
      </w:r>
      <w:r>
        <w:t xml:space="preserve"> meetings prior to the November meeting</w:t>
      </w:r>
      <w:r w:rsidR="00FF2707">
        <w:t xml:space="preserve">. </w:t>
      </w:r>
      <w:r w:rsidR="00F3200C">
        <w:t xml:space="preserve">Another element that needs to be considered is the impact of UE beamforming on the derivation of the ACLR/ACS requirements for BS and UE. With UE beamforming in place, coexistence between adjacent networks is more favourable since the UE added directivity components leads to higher received signal power. However, this comes with the cost of design and complexity at the UE side. Since discussion on UE beamforming is still ongoing, we propose </w:t>
      </w:r>
      <w:r w:rsidR="00F3200C">
        <w:lastRenderedPageBreak/>
        <w:t xml:space="preserve">to investigate in the adjacent channel coexistence </w:t>
      </w:r>
      <w:r w:rsidR="004B3DF6">
        <w:t xml:space="preserve">framework </w:t>
      </w:r>
      <w:r w:rsidR="002F1EB5">
        <w:t xml:space="preserve">the two cases: </w:t>
      </w:r>
      <w:r w:rsidR="004B3DF6">
        <w:t xml:space="preserve">UE with and without beamforming. For the no beamforming assumption, a 0 dBi isotropic antenna should be considered, while for the beamforming assumption, similar </w:t>
      </w:r>
      <w:r w:rsidR="00FC639D">
        <w:t xml:space="preserve">modelling as done in TR 38.803 for UE beamforming can be reused. </w:t>
      </w:r>
    </w:p>
    <w:p w14:paraId="645E2303" w14:textId="7EDAD628" w:rsidR="00395352" w:rsidRPr="00947EAE" w:rsidRDefault="00F3200C" w:rsidP="007F342F">
      <w:pPr>
        <w:jc w:val="both"/>
        <w:rPr>
          <w:b/>
          <w:bCs/>
        </w:rPr>
      </w:pPr>
      <w:r w:rsidRPr="006C2DEE">
        <w:rPr>
          <w:b/>
          <w:bCs/>
          <w:u w:val="single"/>
        </w:rPr>
        <w:t xml:space="preserve">Proposal </w:t>
      </w:r>
      <w:r w:rsidR="006C2DEE" w:rsidRPr="006C2DEE">
        <w:rPr>
          <w:b/>
          <w:bCs/>
          <w:u w:val="single"/>
        </w:rPr>
        <w:t>11</w:t>
      </w:r>
      <w:r w:rsidRPr="00BE6359">
        <w:rPr>
          <w:b/>
          <w:bCs/>
        </w:rPr>
        <w:t>:</w:t>
      </w:r>
      <w:r>
        <w:rPr>
          <w:b/>
          <w:bCs/>
        </w:rPr>
        <w:t xml:space="preserve"> </w:t>
      </w:r>
      <w:r w:rsidR="002F1EB5">
        <w:rPr>
          <w:b/>
          <w:bCs/>
        </w:rPr>
        <w:t xml:space="preserve">To progress the adjacent channel coexistence, </w:t>
      </w:r>
      <w:r w:rsidR="00E25EDB">
        <w:rPr>
          <w:b/>
          <w:bCs/>
        </w:rPr>
        <w:t xml:space="preserve">RAN4 to consider two cases for UE beamforming: UE with and without beamforming. For the former, </w:t>
      </w:r>
      <w:r w:rsidR="00E25EDB" w:rsidRPr="00E25EDB">
        <w:rPr>
          <w:b/>
          <w:bCs/>
        </w:rPr>
        <w:t>a 0 dBi isotropic antenna can be assumed, while for the latter, similar modelling as done in TR 38.803 for UE beamforming can be reused.</w:t>
      </w:r>
      <w:r w:rsidR="00947EAE" w:rsidRPr="00947EAE">
        <w:rPr>
          <w:b/>
          <w:bCs/>
        </w:rPr>
        <w:t xml:space="preserve"> </w:t>
      </w:r>
    </w:p>
    <w:p w14:paraId="6E12F344" w14:textId="77777777" w:rsidR="00993E9B" w:rsidRDefault="00993E9B" w:rsidP="00823087">
      <w:pPr>
        <w:pStyle w:val="Heading1"/>
        <w:ind w:left="0" w:firstLine="0"/>
        <w:jc w:val="both"/>
      </w:pPr>
      <w:r>
        <w:t>Conclusion</w:t>
      </w:r>
    </w:p>
    <w:p w14:paraId="680B5DC1" w14:textId="689C5A01" w:rsidR="00993E9B" w:rsidRDefault="004A75F9" w:rsidP="00823087">
      <w:pPr>
        <w:jc w:val="both"/>
      </w:pPr>
      <w:r>
        <w:t xml:space="preserve">In this paper we have shared our views on the RF parameters for </w:t>
      </w:r>
      <w:r w:rsidR="0091658C" w:rsidRPr="004A7143">
        <w:t>14800 to 15350</w:t>
      </w:r>
      <w:r w:rsidR="0091658C">
        <w:rPr>
          <w:bCs/>
        </w:rPr>
        <w:t xml:space="preserve"> MHz f</w:t>
      </w:r>
      <w:r w:rsidR="0091658C" w:rsidRPr="0055126D">
        <w:rPr>
          <w:bCs/>
        </w:rPr>
        <w:t>requency range</w:t>
      </w:r>
      <w:r>
        <w:t>. Our observations and proposals can be summarized for that frequency range as follows:</w:t>
      </w:r>
    </w:p>
    <w:p w14:paraId="3DB29892" w14:textId="77777777" w:rsidR="00482050" w:rsidRDefault="00482050" w:rsidP="00482050">
      <w:pPr>
        <w:rPr>
          <w:b/>
          <w:bCs/>
        </w:rPr>
      </w:pPr>
      <w:r w:rsidRPr="00E33B2F">
        <w:rPr>
          <w:b/>
          <w:bCs/>
          <w:u w:val="single"/>
          <w:lang w:eastAsia="ja-JP"/>
        </w:rPr>
        <w:t>Observation</w:t>
      </w:r>
      <w:r>
        <w:rPr>
          <w:b/>
          <w:bCs/>
          <w:u w:val="single"/>
          <w:lang w:eastAsia="ja-JP"/>
        </w:rPr>
        <w:t xml:space="preserve"> 1</w:t>
      </w:r>
      <w:r w:rsidRPr="00353594">
        <w:rPr>
          <w:b/>
          <w:bCs/>
          <w:lang w:eastAsia="ja-JP"/>
        </w:rPr>
        <w:t xml:space="preserve">: Urban macro deployments for the </w:t>
      </w:r>
      <w:r w:rsidRPr="00353594">
        <w:rPr>
          <w:b/>
          <w:bCs/>
        </w:rPr>
        <w:t xml:space="preserve">14800 – 15350 MHz frequency range is feasible based on the SINR statistics for both downlink and uplink transmissions. </w:t>
      </w:r>
    </w:p>
    <w:p w14:paraId="0793FF05" w14:textId="77777777" w:rsidR="00482050" w:rsidRDefault="00482050" w:rsidP="00482050">
      <w:pPr>
        <w:rPr>
          <w:b/>
          <w:bCs/>
        </w:rPr>
      </w:pPr>
      <w:r w:rsidRPr="00E33B2F">
        <w:rPr>
          <w:b/>
          <w:bCs/>
          <w:u w:val="single"/>
        </w:rPr>
        <w:t>Proposal</w:t>
      </w:r>
      <w:r>
        <w:rPr>
          <w:b/>
          <w:bCs/>
          <w:u w:val="single"/>
        </w:rPr>
        <w:t xml:space="preserve"> 1</w:t>
      </w:r>
      <w:r>
        <w:rPr>
          <w:b/>
          <w:bCs/>
        </w:rPr>
        <w:t xml:space="preserve">: RAN4 to same deployment scenarios as TR 38.921 (UMa with ISD=450m, InH, and dense urban). </w:t>
      </w:r>
    </w:p>
    <w:p w14:paraId="1F80A2E6" w14:textId="77777777" w:rsidR="00482050" w:rsidRPr="00715476" w:rsidRDefault="00482050" w:rsidP="00482050">
      <w:pPr>
        <w:rPr>
          <w:b/>
          <w:bCs/>
        </w:rPr>
      </w:pPr>
      <w:r w:rsidRPr="00E33B2F">
        <w:rPr>
          <w:b/>
          <w:bCs/>
          <w:u w:val="single"/>
        </w:rPr>
        <w:t>Proposal</w:t>
      </w:r>
      <w:r>
        <w:rPr>
          <w:b/>
          <w:bCs/>
          <w:u w:val="single"/>
        </w:rPr>
        <w:t xml:space="preserve"> 2</w:t>
      </w:r>
      <w:r>
        <w:rPr>
          <w:b/>
          <w:bCs/>
        </w:rPr>
        <w:t>: RAN4 to consider coordinated indoor and uncoordinated outdoor deployments in the adjacent channel coexistence framework.</w:t>
      </w:r>
    </w:p>
    <w:p w14:paraId="4E4E5EE8" w14:textId="77777777" w:rsidR="00482050" w:rsidRDefault="00482050" w:rsidP="00482050">
      <w:pPr>
        <w:jc w:val="both"/>
        <w:rPr>
          <w:b/>
          <w:bCs/>
        </w:rPr>
      </w:pPr>
      <w:r w:rsidRPr="00F076B6">
        <w:rPr>
          <w:b/>
          <w:bCs/>
          <w:u w:val="single"/>
        </w:rPr>
        <w:t xml:space="preserve">Proposal </w:t>
      </w:r>
      <w:r>
        <w:rPr>
          <w:b/>
          <w:bCs/>
          <w:u w:val="single"/>
        </w:rPr>
        <w:t>3</w:t>
      </w:r>
      <w:r w:rsidRPr="00915421">
        <w:rPr>
          <w:b/>
          <w:bCs/>
        </w:rPr>
        <w:t xml:space="preserve">: </w:t>
      </w:r>
      <w:r>
        <w:rPr>
          <w:b/>
          <w:bCs/>
        </w:rPr>
        <w:t xml:space="preserve">RAN4 to consider 200 MHz as a baseline in the adjacent channel coexistence framework. </w:t>
      </w:r>
    </w:p>
    <w:p w14:paraId="77152B0A" w14:textId="77777777" w:rsidR="00482050" w:rsidRDefault="00482050" w:rsidP="00482050">
      <w:pPr>
        <w:jc w:val="both"/>
        <w:rPr>
          <w:b/>
          <w:bCs/>
        </w:rPr>
      </w:pPr>
      <w:r w:rsidRPr="0091658C">
        <w:rPr>
          <w:b/>
          <w:bCs/>
          <w:u w:val="single"/>
        </w:rPr>
        <w:t xml:space="preserve">Proposal </w:t>
      </w:r>
      <w:r>
        <w:rPr>
          <w:b/>
          <w:bCs/>
          <w:u w:val="single"/>
        </w:rPr>
        <w:t>4</w:t>
      </w:r>
      <w:r w:rsidRPr="0039563D">
        <w:rPr>
          <w:b/>
          <w:bCs/>
        </w:rPr>
        <w:t xml:space="preserve">: RAN4 to reuse the network layout model </w:t>
      </w:r>
      <w:r>
        <w:rPr>
          <w:b/>
          <w:bCs/>
        </w:rPr>
        <w:t xml:space="preserve">and relevant propagation models </w:t>
      </w:r>
      <w:r w:rsidRPr="0039563D">
        <w:rPr>
          <w:b/>
          <w:bCs/>
        </w:rPr>
        <w:t xml:space="preserve">in TR 38.803 for urban macro, indoor hotspot, and dense urban deployments. </w:t>
      </w:r>
    </w:p>
    <w:p w14:paraId="35EA11B7" w14:textId="77777777" w:rsidR="006C2DEE" w:rsidRDefault="006C2DEE" w:rsidP="006C2DEE">
      <w:pPr>
        <w:jc w:val="both"/>
        <w:rPr>
          <w:b/>
          <w:bCs/>
        </w:rPr>
      </w:pPr>
      <w:r w:rsidRPr="0091658C">
        <w:rPr>
          <w:b/>
          <w:bCs/>
          <w:u w:val="single"/>
        </w:rPr>
        <w:t xml:space="preserve">Proposal </w:t>
      </w:r>
      <w:r>
        <w:rPr>
          <w:b/>
          <w:bCs/>
          <w:u w:val="single"/>
        </w:rPr>
        <w:t>5</w:t>
      </w:r>
      <w:r w:rsidRPr="00911599">
        <w:rPr>
          <w:b/>
          <w:bCs/>
        </w:rPr>
        <w:t xml:space="preserve">: RAN4 to consider for noise figure for urban macro deployments 9 dB and [9-13] dB for BS and UE, respectively.  </w:t>
      </w:r>
    </w:p>
    <w:p w14:paraId="49616B1D" w14:textId="77777777" w:rsidR="006C2DEE" w:rsidRDefault="006C2DEE" w:rsidP="006C2DEE">
      <w:pPr>
        <w:jc w:val="both"/>
        <w:rPr>
          <w:b/>
          <w:bCs/>
        </w:rPr>
      </w:pPr>
      <w:r w:rsidRPr="00AC7669">
        <w:rPr>
          <w:b/>
          <w:bCs/>
          <w:u w:val="single"/>
        </w:rPr>
        <w:t>Proposal</w:t>
      </w:r>
      <w:r>
        <w:rPr>
          <w:b/>
          <w:bCs/>
          <w:u w:val="single"/>
        </w:rPr>
        <w:t xml:space="preserve"> 6</w:t>
      </w:r>
      <w:r w:rsidRPr="00297A8F">
        <w:rPr>
          <w:b/>
          <w:bCs/>
        </w:rPr>
        <w:t xml:space="preserve">: RAN4 to </w:t>
      </w:r>
      <w:r>
        <w:rPr>
          <w:b/>
          <w:bCs/>
        </w:rPr>
        <w:t>study feasibility</w:t>
      </w:r>
      <w:r w:rsidRPr="00297A8F">
        <w:rPr>
          <w:b/>
          <w:bCs/>
        </w:rPr>
        <w:t xml:space="preserve"> of </w:t>
      </w:r>
      <w:r>
        <w:rPr>
          <w:b/>
          <w:bCs/>
        </w:rPr>
        <w:t>deploying larger</w:t>
      </w:r>
      <w:r w:rsidRPr="00297A8F">
        <w:rPr>
          <w:b/>
          <w:bCs/>
        </w:rPr>
        <w:t xml:space="preserve"> </w:t>
      </w:r>
      <w:r>
        <w:rPr>
          <w:b/>
          <w:bCs/>
        </w:rPr>
        <w:t>number of antenna elements in the BS compared to FR1 for the 15 GHz range.</w:t>
      </w:r>
    </w:p>
    <w:p w14:paraId="7C60AB73" w14:textId="77777777" w:rsidR="006C2DEE" w:rsidRPr="00A3193E" w:rsidRDefault="006C2DEE" w:rsidP="006C2DEE">
      <w:pPr>
        <w:jc w:val="both"/>
        <w:rPr>
          <w:b/>
          <w:bCs/>
        </w:rPr>
      </w:pPr>
      <w:r w:rsidRPr="00BA397F">
        <w:rPr>
          <w:b/>
          <w:bCs/>
          <w:u w:val="single"/>
        </w:rPr>
        <w:t>Proposal</w:t>
      </w:r>
      <w:r>
        <w:rPr>
          <w:b/>
          <w:bCs/>
          <w:u w:val="single"/>
        </w:rPr>
        <w:t xml:space="preserve"> 7</w:t>
      </w:r>
      <w:r w:rsidRPr="00A3193E">
        <w:rPr>
          <w:b/>
          <w:bCs/>
        </w:rPr>
        <w:t xml:space="preserve">: RAN4 to adopt 1024 antenna elements as a baseline for the adjacent channel coexistence and further study the feasibility of employing higher number of antenna elements. </w:t>
      </w:r>
    </w:p>
    <w:p w14:paraId="7FB9C269" w14:textId="77777777" w:rsidR="006C2DEE" w:rsidRPr="0039563D" w:rsidRDefault="006C2DEE" w:rsidP="006C2DEE">
      <w:pPr>
        <w:jc w:val="both"/>
        <w:rPr>
          <w:b/>
          <w:bCs/>
        </w:rPr>
      </w:pPr>
      <w:r w:rsidRPr="001E51AD">
        <w:rPr>
          <w:b/>
          <w:bCs/>
          <w:u w:val="single"/>
          <w:lang w:val="en-US"/>
        </w:rPr>
        <w:t>Observation</w:t>
      </w:r>
      <w:r>
        <w:rPr>
          <w:b/>
          <w:bCs/>
          <w:u w:val="single"/>
          <w:lang w:val="en-US"/>
        </w:rPr>
        <w:t xml:space="preserve"> 2</w:t>
      </w:r>
      <w:r w:rsidRPr="00647AA7">
        <w:rPr>
          <w:b/>
          <w:bCs/>
          <w:lang w:val="en-US"/>
        </w:rPr>
        <w:t xml:space="preserve">: BS AAS parameters should be selected to facilitate the coexistence with other incumbent services. </w:t>
      </w:r>
    </w:p>
    <w:p w14:paraId="701414E2" w14:textId="77777777" w:rsidR="006C2DEE" w:rsidRDefault="006C2DEE" w:rsidP="006C2DEE">
      <w:pPr>
        <w:jc w:val="both"/>
        <w:rPr>
          <w:b/>
          <w:bCs/>
        </w:rPr>
      </w:pPr>
      <w:r w:rsidRPr="0091658C">
        <w:rPr>
          <w:b/>
          <w:bCs/>
          <w:u w:val="single"/>
        </w:rPr>
        <w:t xml:space="preserve">Proposal </w:t>
      </w:r>
      <w:r>
        <w:rPr>
          <w:b/>
          <w:bCs/>
          <w:u w:val="single"/>
        </w:rPr>
        <w:t>10</w:t>
      </w:r>
      <w:r w:rsidRPr="00947EAE">
        <w:rPr>
          <w:b/>
          <w:bCs/>
        </w:rPr>
        <w:t xml:space="preserve">: RAN4 to </w:t>
      </w:r>
      <w:r>
        <w:rPr>
          <w:b/>
          <w:bCs/>
        </w:rPr>
        <w:t xml:space="preserve">agree on 15dB as UL SNR target and 26 dBm as UE maximum output power. </w:t>
      </w:r>
      <w:r w:rsidRPr="00947EAE">
        <w:rPr>
          <w:b/>
          <w:bCs/>
        </w:rPr>
        <w:t xml:space="preserve"> </w:t>
      </w:r>
    </w:p>
    <w:p w14:paraId="3B0804F2" w14:textId="1EFB9D25" w:rsidR="00482050" w:rsidRPr="006C2DEE" w:rsidRDefault="006C2DEE" w:rsidP="00823087">
      <w:pPr>
        <w:jc w:val="both"/>
        <w:rPr>
          <w:b/>
          <w:bCs/>
        </w:rPr>
      </w:pPr>
      <w:r w:rsidRPr="006C2DEE">
        <w:rPr>
          <w:b/>
          <w:bCs/>
          <w:u w:val="single"/>
        </w:rPr>
        <w:t>Proposal 11</w:t>
      </w:r>
      <w:r w:rsidRPr="00BE6359">
        <w:rPr>
          <w:b/>
          <w:bCs/>
        </w:rPr>
        <w:t>:</w:t>
      </w:r>
      <w:r>
        <w:rPr>
          <w:b/>
          <w:bCs/>
        </w:rPr>
        <w:t xml:space="preserve"> To progress the adjacent channel coexistence, RAN4 to consider two cases for UE beamforming: UE with and without beamforming. For the former, </w:t>
      </w:r>
      <w:r w:rsidRPr="00E25EDB">
        <w:rPr>
          <w:b/>
          <w:bCs/>
        </w:rPr>
        <w:t>a 0 dBi isotropic antenna can be assumed, while for the latter, similar modelling as done in TR 38.803 for UE beamforming can be reused.</w:t>
      </w:r>
      <w:r w:rsidRPr="00947EAE">
        <w:rPr>
          <w:b/>
          <w:bCs/>
        </w:rPr>
        <w:t xml:space="preserve"> </w:t>
      </w:r>
    </w:p>
    <w:p w14:paraId="17189E3E" w14:textId="77777777" w:rsidR="00993E9B" w:rsidRDefault="00993E9B" w:rsidP="00823087">
      <w:pPr>
        <w:pStyle w:val="Heading1"/>
        <w:ind w:left="0" w:firstLine="0"/>
        <w:jc w:val="both"/>
      </w:pPr>
      <w:r>
        <w:t>Reference</w:t>
      </w:r>
    </w:p>
    <w:p w14:paraId="267B5DEF" w14:textId="7F42606F" w:rsidR="00993E9B" w:rsidRDefault="00993E9B" w:rsidP="00823087">
      <w:pPr>
        <w:pStyle w:val="B1"/>
        <w:ind w:left="719" w:hanging="435"/>
        <w:jc w:val="both"/>
      </w:pPr>
      <w:r>
        <w:t>[1]</w:t>
      </w:r>
      <w:r>
        <w:tab/>
      </w:r>
      <w:r w:rsidR="000F58C5">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3A0A1970" w14:textId="13B1AC33" w:rsidR="002D334C" w:rsidRDefault="002D334C" w:rsidP="00823087">
      <w:pPr>
        <w:pStyle w:val="B1"/>
        <w:ind w:left="426" w:hanging="142"/>
        <w:jc w:val="both"/>
      </w:pPr>
      <w:r>
        <w:t xml:space="preserve">[2] </w:t>
      </w:r>
      <w:r>
        <w:tab/>
      </w:r>
      <w:r w:rsidRPr="00B55777">
        <w:t>R4-2406615</w:t>
      </w:r>
      <w:r>
        <w:t>, “</w:t>
      </w:r>
      <w:r w:rsidRPr="00C41A46">
        <w:t>WF on IMT parameters for other frequency ranges</w:t>
      </w:r>
      <w:r>
        <w:t xml:space="preserve">”, CATT, RAN4#110-bis, Changsha, China. </w:t>
      </w:r>
    </w:p>
    <w:p w14:paraId="7F3D3D64" w14:textId="436415FD" w:rsidR="000F58C5" w:rsidRDefault="00562B1A" w:rsidP="00245845">
      <w:pPr>
        <w:pStyle w:val="B1"/>
        <w:ind w:left="719" w:hanging="435"/>
        <w:jc w:val="both"/>
      </w:pPr>
      <w:r>
        <w:t>[3]</w:t>
      </w:r>
      <w:r>
        <w:tab/>
        <w:t>TR 38.921, “</w:t>
      </w:r>
      <w:r w:rsidRPr="00D04D6E">
        <w:t>Study on International Mobile Telecommunications (IMT) parameters for 6.425 - 7.025 GHz, 7.025 - 7.125 GHz and 10.0 - 10.5 GHz</w:t>
      </w:r>
      <w:r>
        <w:t>”, 3GPP V17.1.0.</w:t>
      </w:r>
    </w:p>
    <w:p w14:paraId="2AAC5D96" w14:textId="77777777" w:rsidR="00993E9B" w:rsidRDefault="00993E9B" w:rsidP="00823087">
      <w:pPr>
        <w:pStyle w:val="B1"/>
        <w:jc w:val="both"/>
      </w:pPr>
    </w:p>
    <w:p w14:paraId="318EFFBC" w14:textId="77777777" w:rsidR="00993E9B" w:rsidRDefault="00993E9B" w:rsidP="00823087">
      <w:pPr>
        <w:pStyle w:val="B1"/>
        <w:ind w:left="0" w:firstLine="0"/>
        <w:jc w:val="both"/>
      </w:pPr>
    </w:p>
    <w:p w14:paraId="5467FF78" w14:textId="77777777" w:rsidR="00993E9B" w:rsidRDefault="00993E9B" w:rsidP="00823087">
      <w:pPr>
        <w:jc w:val="both"/>
      </w:pPr>
    </w:p>
    <w:sectPr w:rsidR="00993E9B"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9C5B0" w14:textId="77777777" w:rsidR="000F013E" w:rsidRDefault="000F013E" w:rsidP="0053201B">
      <w:pPr>
        <w:spacing w:after="0"/>
      </w:pPr>
      <w:r>
        <w:separator/>
      </w:r>
    </w:p>
  </w:endnote>
  <w:endnote w:type="continuationSeparator" w:id="0">
    <w:p w14:paraId="761C2829" w14:textId="77777777" w:rsidR="000F013E" w:rsidRDefault="000F013E" w:rsidP="00532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EB3D" w14:textId="77777777" w:rsidR="000F013E" w:rsidRDefault="000F013E" w:rsidP="0053201B">
      <w:pPr>
        <w:spacing w:after="0"/>
      </w:pPr>
      <w:r>
        <w:separator/>
      </w:r>
    </w:p>
  </w:footnote>
  <w:footnote w:type="continuationSeparator" w:id="0">
    <w:p w14:paraId="4FA1DC0C" w14:textId="77777777" w:rsidR="000F013E" w:rsidRDefault="000F013E" w:rsidP="005320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5"/>
  </w:num>
  <w:num w:numId="2" w16cid:durableId="1621305404">
    <w:abstractNumId w:val="1"/>
  </w:num>
  <w:num w:numId="3" w16cid:durableId="225802869">
    <w:abstractNumId w:val="2"/>
  </w:num>
  <w:num w:numId="4" w16cid:durableId="276178333">
    <w:abstractNumId w:val="0"/>
  </w:num>
  <w:num w:numId="5" w16cid:durableId="1935287387">
    <w:abstractNumId w:val="4"/>
  </w:num>
  <w:num w:numId="6" w16cid:durableId="1874151125">
    <w:abstractNumId w:val="3"/>
  </w:num>
  <w:num w:numId="7" w16cid:durableId="578293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78FE"/>
    <w:rsid w:val="00010E35"/>
    <w:rsid w:val="00017D94"/>
    <w:rsid w:val="000443F3"/>
    <w:rsid w:val="00045BA0"/>
    <w:rsid w:val="00057089"/>
    <w:rsid w:val="000644E6"/>
    <w:rsid w:val="00065D07"/>
    <w:rsid w:val="000748BF"/>
    <w:rsid w:val="00093094"/>
    <w:rsid w:val="000970DC"/>
    <w:rsid w:val="000A56A5"/>
    <w:rsid w:val="000B3542"/>
    <w:rsid w:val="000B3A88"/>
    <w:rsid w:val="000B5295"/>
    <w:rsid w:val="000D285C"/>
    <w:rsid w:val="000E7DF4"/>
    <w:rsid w:val="000F013E"/>
    <w:rsid w:val="000F5117"/>
    <w:rsid w:val="000F58C5"/>
    <w:rsid w:val="0010170A"/>
    <w:rsid w:val="001163DF"/>
    <w:rsid w:val="00120B88"/>
    <w:rsid w:val="001319A1"/>
    <w:rsid w:val="001369FC"/>
    <w:rsid w:val="0014457D"/>
    <w:rsid w:val="00161208"/>
    <w:rsid w:val="001772ED"/>
    <w:rsid w:val="001803A2"/>
    <w:rsid w:val="0018394D"/>
    <w:rsid w:val="001A7539"/>
    <w:rsid w:val="001B15BE"/>
    <w:rsid w:val="001B43FB"/>
    <w:rsid w:val="001B5B2C"/>
    <w:rsid w:val="001C1E73"/>
    <w:rsid w:val="001D1E76"/>
    <w:rsid w:val="001D27C1"/>
    <w:rsid w:val="001D538E"/>
    <w:rsid w:val="001E310D"/>
    <w:rsid w:val="001E51AD"/>
    <w:rsid w:val="001F4658"/>
    <w:rsid w:val="00200EEE"/>
    <w:rsid w:val="00207990"/>
    <w:rsid w:val="00211997"/>
    <w:rsid w:val="00216130"/>
    <w:rsid w:val="00227F48"/>
    <w:rsid w:val="00243A28"/>
    <w:rsid w:val="00245845"/>
    <w:rsid w:val="0026134C"/>
    <w:rsid w:val="002626C4"/>
    <w:rsid w:val="00276C66"/>
    <w:rsid w:val="00277353"/>
    <w:rsid w:val="00292411"/>
    <w:rsid w:val="002933E2"/>
    <w:rsid w:val="00297A8F"/>
    <w:rsid w:val="002A0377"/>
    <w:rsid w:val="002A1AFD"/>
    <w:rsid w:val="002C228A"/>
    <w:rsid w:val="002D05B4"/>
    <w:rsid w:val="002D334C"/>
    <w:rsid w:val="002D37EF"/>
    <w:rsid w:val="002D7004"/>
    <w:rsid w:val="002E0D2A"/>
    <w:rsid w:val="002F1EB5"/>
    <w:rsid w:val="002F21B4"/>
    <w:rsid w:val="002F2AB9"/>
    <w:rsid w:val="002F5DAE"/>
    <w:rsid w:val="0030399D"/>
    <w:rsid w:val="00305B4F"/>
    <w:rsid w:val="003133B0"/>
    <w:rsid w:val="00317293"/>
    <w:rsid w:val="00322279"/>
    <w:rsid w:val="00337758"/>
    <w:rsid w:val="003465F6"/>
    <w:rsid w:val="00353594"/>
    <w:rsid w:val="00372F65"/>
    <w:rsid w:val="0038129F"/>
    <w:rsid w:val="00381DB5"/>
    <w:rsid w:val="00382370"/>
    <w:rsid w:val="00382371"/>
    <w:rsid w:val="0038656B"/>
    <w:rsid w:val="00391215"/>
    <w:rsid w:val="003936F9"/>
    <w:rsid w:val="00395352"/>
    <w:rsid w:val="0039563D"/>
    <w:rsid w:val="003A10AA"/>
    <w:rsid w:val="003A3D36"/>
    <w:rsid w:val="003D74A8"/>
    <w:rsid w:val="003F73B2"/>
    <w:rsid w:val="00406761"/>
    <w:rsid w:val="004072E0"/>
    <w:rsid w:val="00424A73"/>
    <w:rsid w:val="0043357D"/>
    <w:rsid w:val="0043519E"/>
    <w:rsid w:val="00441FC9"/>
    <w:rsid w:val="00443278"/>
    <w:rsid w:val="00443AB1"/>
    <w:rsid w:val="00465A5D"/>
    <w:rsid w:val="00467828"/>
    <w:rsid w:val="00471D05"/>
    <w:rsid w:val="00471F05"/>
    <w:rsid w:val="00482050"/>
    <w:rsid w:val="004849E4"/>
    <w:rsid w:val="00487D81"/>
    <w:rsid w:val="004A75F9"/>
    <w:rsid w:val="004B3DF6"/>
    <w:rsid w:val="004B7A80"/>
    <w:rsid w:val="004D1525"/>
    <w:rsid w:val="004D7E41"/>
    <w:rsid w:val="0051127D"/>
    <w:rsid w:val="0051387B"/>
    <w:rsid w:val="00515FB6"/>
    <w:rsid w:val="00531513"/>
    <w:rsid w:val="0053201B"/>
    <w:rsid w:val="00546B72"/>
    <w:rsid w:val="00562B1A"/>
    <w:rsid w:val="00563EE6"/>
    <w:rsid w:val="00573A77"/>
    <w:rsid w:val="005758E6"/>
    <w:rsid w:val="00582E47"/>
    <w:rsid w:val="0059132F"/>
    <w:rsid w:val="005952AA"/>
    <w:rsid w:val="005A3804"/>
    <w:rsid w:val="005A643E"/>
    <w:rsid w:val="005A68EB"/>
    <w:rsid w:val="005A71D8"/>
    <w:rsid w:val="005B04DF"/>
    <w:rsid w:val="005B6ECB"/>
    <w:rsid w:val="005C7EBB"/>
    <w:rsid w:val="0061354C"/>
    <w:rsid w:val="00623074"/>
    <w:rsid w:val="00641343"/>
    <w:rsid w:val="00647AA7"/>
    <w:rsid w:val="00650DBE"/>
    <w:rsid w:val="00655309"/>
    <w:rsid w:val="00661D49"/>
    <w:rsid w:val="0066665A"/>
    <w:rsid w:val="0067716E"/>
    <w:rsid w:val="006854BF"/>
    <w:rsid w:val="00692B4E"/>
    <w:rsid w:val="006955F4"/>
    <w:rsid w:val="006A1A1F"/>
    <w:rsid w:val="006A6E35"/>
    <w:rsid w:val="006A709E"/>
    <w:rsid w:val="006B506A"/>
    <w:rsid w:val="006C0379"/>
    <w:rsid w:val="006C2DEE"/>
    <w:rsid w:val="006D028C"/>
    <w:rsid w:val="006D77D2"/>
    <w:rsid w:val="006E4C77"/>
    <w:rsid w:val="006F04C9"/>
    <w:rsid w:val="00715476"/>
    <w:rsid w:val="00717FE4"/>
    <w:rsid w:val="00732AB2"/>
    <w:rsid w:val="00732C96"/>
    <w:rsid w:val="007333A6"/>
    <w:rsid w:val="00734E38"/>
    <w:rsid w:val="00737DCA"/>
    <w:rsid w:val="00741F1C"/>
    <w:rsid w:val="007439AB"/>
    <w:rsid w:val="00746F1D"/>
    <w:rsid w:val="00765938"/>
    <w:rsid w:val="0076678B"/>
    <w:rsid w:val="007855B3"/>
    <w:rsid w:val="00791889"/>
    <w:rsid w:val="0079517F"/>
    <w:rsid w:val="007B7220"/>
    <w:rsid w:val="007C51C5"/>
    <w:rsid w:val="007D0076"/>
    <w:rsid w:val="007D0FF3"/>
    <w:rsid w:val="007D134E"/>
    <w:rsid w:val="007D3037"/>
    <w:rsid w:val="007D7357"/>
    <w:rsid w:val="007E5653"/>
    <w:rsid w:val="007E5730"/>
    <w:rsid w:val="007E68D5"/>
    <w:rsid w:val="007E6BBF"/>
    <w:rsid w:val="007F2595"/>
    <w:rsid w:val="007F342F"/>
    <w:rsid w:val="007F372E"/>
    <w:rsid w:val="00800C1B"/>
    <w:rsid w:val="008134E2"/>
    <w:rsid w:val="00813CE6"/>
    <w:rsid w:val="00823087"/>
    <w:rsid w:val="0082764C"/>
    <w:rsid w:val="008314CA"/>
    <w:rsid w:val="00834CAB"/>
    <w:rsid w:val="00845BA2"/>
    <w:rsid w:val="00847821"/>
    <w:rsid w:val="00851D28"/>
    <w:rsid w:val="00853E26"/>
    <w:rsid w:val="00860E1B"/>
    <w:rsid w:val="0086319B"/>
    <w:rsid w:val="0087034A"/>
    <w:rsid w:val="00884DBF"/>
    <w:rsid w:val="008A151F"/>
    <w:rsid w:val="008A6B03"/>
    <w:rsid w:val="008A77DF"/>
    <w:rsid w:val="008B0E6C"/>
    <w:rsid w:val="008B1506"/>
    <w:rsid w:val="008B70F8"/>
    <w:rsid w:val="008D2A99"/>
    <w:rsid w:val="008D385B"/>
    <w:rsid w:val="008D4695"/>
    <w:rsid w:val="008D51D4"/>
    <w:rsid w:val="009006F1"/>
    <w:rsid w:val="00911599"/>
    <w:rsid w:val="00914E18"/>
    <w:rsid w:val="00915421"/>
    <w:rsid w:val="0091658C"/>
    <w:rsid w:val="00920B8C"/>
    <w:rsid w:val="009216F9"/>
    <w:rsid w:val="0092684B"/>
    <w:rsid w:val="009311F3"/>
    <w:rsid w:val="00937778"/>
    <w:rsid w:val="00937DBF"/>
    <w:rsid w:val="00947EAE"/>
    <w:rsid w:val="009570AD"/>
    <w:rsid w:val="0095735B"/>
    <w:rsid w:val="00972376"/>
    <w:rsid w:val="009771A4"/>
    <w:rsid w:val="00990CAD"/>
    <w:rsid w:val="00991A72"/>
    <w:rsid w:val="00993E9B"/>
    <w:rsid w:val="009969E1"/>
    <w:rsid w:val="009A5414"/>
    <w:rsid w:val="009C5EBE"/>
    <w:rsid w:val="009C729C"/>
    <w:rsid w:val="009E628C"/>
    <w:rsid w:val="00A03963"/>
    <w:rsid w:val="00A23173"/>
    <w:rsid w:val="00A2439E"/>
    <w:rsid w:val="00A26E72"/>
    <w:rsid w:val="00A3193E"/>
    <w:rsid w:val="00A40271"/>
    <w:rsid w:val="00A416EE"/>
    <w:rsid w:val="00A43466"/>
    <w:rsid w:val="00A504B0"/>
    <w:rsid w:val="00A50B3C"/>
    <w:rsid w:val="00A6765A"/>
    <w:rsid w:val="00A727B4"/>
    <w:rsid w:val="00A83755"/>
    <w:rsid w:val="00A84DDA"/>
    <w:rsid w:val="00A85FE3"/>
    <w:rsid w:val="00AB1AA7"/>
    <w:rsid w:val="00AC04C4"/>
    <w:rsid w:val="00AC3B9F"/>
    <w:rsid w:val="00AC7669"/>
    <w:rsid w:val="00AD47F0"/>
    <w:rsid w:val="00AD7C44"/>
    <w:rsid w:val="00AE510F"/>
    <w:rsid w:val="00B11736"/>
    <w:rsid w:val="00B23D5E"/>
    <w:rsid w:val="00B25ED1"/>
    <w:rsid w:val="00B26FC9"/>
    <w:rsid w:val="00B27918"/>
    <w:rsid w:val="00B432C1"/>
    <w:rsid w:val="00B46944"/>
    <w:rsid w:val="00B5299E"/>
    <w:rsid w:val="00B52D45"/>
    <w:rsid w:val="00B55265"/>
    <w:rsid w:val="00B57C2C"/>
    <w:rsid w:val="00B75FB9"/>
    <w:rsid w:val="00B81F1B"/>
    <w:rsid w:val="00B92A0F"/>
    <w:rsid w:val="00BA397F"/>
    <w:rsid w:val="00BB0108"/>
    <w:rsid w:val="00BB1073"/>
    <w:rsid w:val="00BB5183"/>
    <w:rsid w:val="00BB6985"/>
    <w:rsid w:val="00BD22DF"/>
    <w:rsid w:val="00BE07F8"/>
    <w:rsid w:val="00BE6359"/>
    <w:rsid w:val="00C11F67"/>
    <w:rsid w:val="00C12964"/>
    <w:rsid w:val="00C16CAD"/>
    <w:rsid w:val="00C30441"/>
    <w:rsid w:val="00C36C62"/>
    <w:rsid w:val="00C447A0"/>
    <w:rsid w:val="00C502CB"/>
    <w:rsid w:val="00C614EB"/>
    <w:rsid w:val="00C70B0D"/>
    <w:rsid w:val="00C729DC"/>
    <w:rsid w:val="00C73DAF"/>
    <w:rsid w:val="00C778EA"/>
    <w:rsid w:val="00C93632"/>
    <w:rsid w:val="00C97564"/>
    <w:rsid w:val="00CA3370"/>
    <w:rsid w:val="00CB27F4"/>
    <w:rsid w:val="00CE53D8"/>
    <w:rsid w:val="00CE63B2"/>
    <w:rsid w:val="00CE6EE0"/>
    <w:rsid w:val="00CE7EAC"/>
    <w:rsid w:val="00CF1C8B"/>
    <w:rsid w:val="00CF77B6"/>
    <w:rsid w:val="00D07C30"/>
    <w:rsid w:val="00D342AE"/>
    <w:rsid w:val="00D41446"/>
    <w:rsid w:val="00D4248B"/>
    <w:rsid w:val="00D54E35"/>
    <w:rsid w:val="00D61AB0"/>
    <w:rsid w:val="00D61CC4"/>
    <w:rsid w:val="00D72686"/>
    <w:rsid w:val="00D76887"/>
    <w:rsid w:val="00D80C6C"/>
    <w:rsid w:val="00D82BB3"/>
    <w:rsid w:val="00DA0296"/>
    <w:rsid w:val="00DA0865"/>
    <w:rsid w:val="00DB2979"/>
    <w:rsid w:val="00DD0F13"/>
    <w:rsid w:val="00DD51B9"/>
    <w:rsid w:val="00DE4456"/>
    <w:rsid w:val="00DE50F5"/>
    <w:rsid w:val="00DE69CF"/>
    <w:rsid w:val="00E02357"/>
    <w:rsid w:val="00E02FD4"/>
    <w:rsid w:val="00E25EDB"/>
    <w:rsid w:val="00E31C49"/>
    <w:rsid w:val="00E33389"/>
    <w:rsid w:val="00E33B2F"/>
    <w:rsid w:val="00E55098"/>
    <w:rsid w:val="00E60D19"/>
    <w:rsid w:val="00E625BD"/>
    <w:rsid w:val="00E94167"/>
    <w:rsid w:val="00E96224"/>
    <w:rsid w:val="00EB262E"/>
    <w:rsid w:val="00EB6F77"/>
    <w:rsid w:val="00EC2208"/>
    <w:rsid w:val="00EC2BE8"/>
    <w:rsid w:val="00EC7443"/>
    <w:rsid w:val="00EE1C2D"/>
    <w:rsid w:val="00EF175B"/>
    <w:rsid w:val="00EF5544"/>
    <w:rsid w:val="00F01C01"/>
    <w:rsid w:val="00F05646"/>
    <w:rsid w:val="00F06B38"/>
    <w:rsid w:val="00F076B6"/>
    <w:rsid w:val="00F14541"/>
    <w:rsid w:val="00F17B30"/>
    <w:rsid w:val="00F3200C"/>
    <w:rsid w:val="00F36698"/>
    <w:rsid w:val="00F36C04"/>
    <w:rsid w:val="00F42BD3"/>
    <w:rsid w:val="00F546F1"/>
    <w:rsid w:val="00F57B90"/>
    <w:rsid w:val="00FB1152"/>
    <w:rsid w:val="00FB6946"/>
    <w:rsid w:val="00FC639D"/>
    <w:rsid w:val="00FD1F80"/>
    <w:rsid w:val="00FF0C68"/>
    <w:rsid w:val="00FF18A1"/>
    <w:rsid w:val="00FF2707"/>
    <w:rsid w:val="00FF6EC9"/>
    <w:rsid w:val="0F4A4BAB"/>
    <w:rsid w:val="129082A5"/>
    <w:rsid w:val="1813EEBC"/>
    <w:rsid w:val="67CD5F33"/>
    <w:rsid w:val="6C638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FED54922-424A-4399-AFA2-07C8FC7B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iPriority w:val="99"/>
    <w:unhideWhenUsed/>
    <w:rsid w:val="0053201B"/>
    <w:pPr>
      <w:tabs>
        <w:tab w:val="center" w:pos="4680"/>
        <w:tab w:val="right" w:pos="9360"/>
      </w:tabs>
      <w:spacing w:after="0"/>
    </w:pPr>
  </w:style>
  <w:style w:type="character" w:customStyle="1" w:styleId="HeaderChar">
    <w:name w:val="Header Char"/>
    <w:basedOn w:val="DefaultParagraphFont"/>
    <w:link w:val="Header"/>
    <w:uiPriority w:val="99"/>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79BDB-CB05-436A-A150-64C5E1D1239F}">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BF4FB-E797-4344-8640-EE92B4673A2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152</TotalTime>
  <Pages>4</Pages>
  <Words>1627</Words>
  <Characters>9280</Characters>
  <Application>Microsoft Office Word</Application>
  <DocSecurity>0</DocSecurity>
  <Lines>77</Lines>
  <Paragraphs>21</Paragraphs>
  <ScaleCrop>false</ScaleCrop>
  <Company>Qualcomm Incorporated</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346</cp:revision>
  <dcterms:created xsi:type="dcterms:W3CDTF">2024-03-28T10:16:00Z</dcterms:created>
  <dcterms:modified xsi:type="dcterms:W3CDTF">2024-05-13T13:06:00Z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